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Default Extension="jpg" ContentType="image/jpeg"/>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r>
        <w:pict>
          <v:rect id="_x0000_i1025" o:hralign="center" o:hrstd="t" o:hr="t" style="width:0pt;height:4.5pt;visibility:visible" fillcolor="#000000" strokeweight="1pt" strokecolor="#000000"/>
        </w:pict>
      </w:r>
    </w:p>
    <w:p>
      <w:pPr>
        <w:spacing w:before="0" w:after="0" w:lineRule="auto" w:line="240"/>
        <w:rPr>
          <w:rFonts w:ascii="arial" w:eastAsia="arial" w:hAnsi="arial" w:cs="arial"/>
          <w:b w:val="false"/>
          <w:bCs w:val="false"/>
          <w:i w:val="false"/>
          <w:color w:val="000000"/>
          <w:sz w:val="24"/>
          <w:szCs w:val="24"/>
        </w:rPr>
      </w:pPr>
    </w:p>
    <w:p>
      <w:pPr/>
      <w:r>
        <w:pict>
          <v:rect id="_x0000_i1025" o:hralign="center" o:hrstd="t" o:hr="t" style="width:0pt;height:1.5pt;visibility:visible" fillcolor="#000000" strokeweight="1pt" strokecolor="#000000"/>
        </w:pict>
      </w:r>
    </w:p>
    <w:tbl>
      <w:tblPr>
        <w:tblW w:w="5000" w:type="pct"/>
        <w:jc w:val="left"/>
        <w:tblCellSpacing w:w="30" w:type="dxa"/>
        <w:tblInd w:w="0" w:type="dxa"/>
      </w:tblPr>
      <w:tr>
        <w:tc>
          <w:tcPr>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2"/>
                <w:szCs w:val="22"/>
              </w:rPr>
            </w:pPr>
            <w:r>
              <w:rPr>
                <w:rFonts w:ascii="arial" w:eastAsia="arial" w:hAnsi="arial" w:cs="arial"/>
                <w:b/>
                <w:bCs/>
                <w:i w:val="false"/>
                <w:color w:val="000000"/>
                <w:sz w:val="43"/>
                <w:szCs w:val="43"/>
              </w:rPr>
              <w:t xml:space="preserve">SECURITIES AND EXCHANGE COMMISSION </w:t>
            </w:r>
            <w:r>
              <w:br/>
            </w:r>
            <w:r>
              <w:rPr>
                <w:rFonts w:ascii="arial" w:eastAsia="arial" w:hAnsi="arial" w:cs="arial"/>
                <w:b/>
                <w:bCs/>
                <w:i w:val="false"/>
                <w:color w:val="000000"/>
                <w:sz w:val="43"/>
                <w:szCs w:val="43"/>
              </w:rPr>
              <w:t>Washington, D.C. 20549</w:t>
            </w:r>
          </w:p>
        </w:tc>
      </w:tr>
      <w:tr>
        <w:tc>
          <w:tcPr>
            <w:tcMar>
              <w:top w:w="120" w:type="dxa"/>
              <w:left w:w="120" w:type="dxa"/>
              <w:bottom w:w="120" w:type="dxa"/>
              <w:right w:w="120" w:type="dxa"/>
            </w:tcMar>
            <w:vAlign w:val="top"/>
          </w:tcPr>
          <w:p>
            <w:pPr>
              <w:spacing w:before="0" w:after="0" w:lineRule="auto" w:line="240"/>
              <w:jc w:val="center"/>
              <w:rPr>
                <w:rFonts w:ascii="arial" w:eastAsia="arial" w:hAnsi="arial" w:cs="arial"/>
                <w:b/>
                <w:bCs/>
                <w:i w:val="false"/>
                <w:color w:val="000000"/>
                <w:sz w:val="19"/>
                <w:szCs w:val="19"/>
              </w:rPr>
            </w:pPr>
            <w:r>
              <w:br/>
            </w:r>
          </w:p>
          <w:p>
            <w:pPr>
              <w:spacing w:before="0" w:after="0" w:lineRule="auto" w:line="240"/>
              <w:ind w:left="0" w:right="0"/>
              <w:jc w:val="center"/>
              <w:rPr>
                <w:rFonts w:ascii="arial" w:eastAsia="arial" w:hAnsi="arial" w:cs="arial"/>
                <w:b/>
                <w:bCs/>
                <w:i w:val="false"/>
                <w:color w:val="000000"/>
                <w:sz w:val="29"/>
                <w:szCs w:val="29"/>
              </w:rPr>
            </w:pPr>
            <w:r>
              <w:rPr>
                <w:rFonts w:ascii="arial" w:eastAsia="arial" w:hAnsi="arial" w:cs="arial"/>
                <w:b/>
                <w:bCs/>
                <w:i w:val="false"/>
                <w:color w:val="000000"/>
                <w:sz w:val="29"/>
                <w:szCs w:val="29"/>
              </w:rPr>
              <w:t>SCHEDULE 13G</w:t>
            </w:r>
          </w:p>
          <w:p>
            <w:pPr>
              <w:spacing w:before="0" w:after="0" w:lineRule="auto" w:line="240"/>
              <w:jc w:val="center"/>
              <w:rPr>
                <w:rFonts w:ascii="arial" w:eastAsia="arial" w:hAnsi="arial" w:cs="arial"/>
                <w:b/>
                <w:bCs/>
                <w:i w:val="false"/>
                <w:color w:val="000000"/>
                <w:sz w:val="19"/>
                <w:szCs w:val="19"/>
              </w:rPr>
            </w:pPr>
            <w:r>
              <w:br/>
            </w:r>
          </w:p>
        </w:tc>
      </w:tr>
      <w:tr>
        <w:tc>
          <w:tcPr>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bCs/>
                <w:i w:val="false"/>
                <w:color w:val="000000"/>
                <w:sz w:val="23"/>
                <w:szCs w:val="23"/>
              </w:rPr>
            </w:pPr>
            <w:r>
              <w:rPr>
                <w:rFonts w:ascii="arial" w:eastAsia="arial" w:hAnsi="arial" w:cs="arial"/>
                <w:b/>
                <w:bCs/>
                <w:i w:val="false"/>
                <w:color w:val="000000"/>
                <w:sz w:val="23"/>
                <w:szCs w:val="23"/>
              </w:rPr>
              <w:t>UNDER THE SECURITIES EXCHANGE ACT OF 1934</w:t>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(Amendment No. </w:t>
            </w:r>
            <w:r>
              <w:rPr>
                <w:rFonts w:ascii="arial" w:eastAsia="arial" w:hAnsi="arial" w:cs="arial"/>
                <w:b/>
                <w:bCs/>
                <w:i w:val="false"/>
                <w:color w:val="0000FF"/>
                <w:sz w:val="22"/>
                <w:szCs w:val="22"/>
              </w:rPr>
              <w:t>2</w:t>
            </w:r>
            <w:r>
              <w:rPr>
                <w:rFonts w:ascii="arial" w:eastAsia="arial" w:hAnsi="arial" w:cs="arial"/>
                <w:b/>
                <w:bCs/>
                <w:i w:val="false"/>
                <w:color w:val="000000"/>
                <w:sz w:val="22"/>
                <w:szCs w:val="22"/>
              </w:rPr>
              <w:t>)</w:t>
            </w:r>
          </w:p>
          <w:p>
            <w:pPr>
              <w:spacing w:before="0" w:after="0" w:lineRule="auto" w:line="240"/>
              <w:jc w:val="left"/>
              <w:rPr>
                <w:rFonts w:ascii="arial" w:eastAsia="arial" w:hAnsi="arial" w:cs="arial"/>
                <w:b w:val="false"/>
                <w:bCs w:val="false"/>
                <w:i w:val="false"/>
                <w:color w:val="000000"/>
                <w:sz w:val="22"/>
                <w:szCs w:val="22"/>
              </w:rPr>
            </w:pPr>
            <w:r>
              <w:br/>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FF"/>
                <w:sz w:val="22"/>
                <w:szCs w:val="22"/>
              </w:rPr>
            </w:pPr>
            <w:r>
              <w:rPr>
                <w:rFonts w:ascii="arial" w:eastAsia="arial" w:hAnsi="arial" w:cs="arial"/>
                <w:b/>
                <w:bCs/>
                <w:i w:val="false"/>
                <w:color w:val="0000FF"/>
                <w:sz w:val="22"/>
                <w:szCs w:val="22"/>
              </w:rPr>
              <w:t>BiomX Inc.</w:t>
            </w:r>
          </w:p>
          <w:p>
            <w:pPr/>
            <w:r>
              <w:pict>
                <v:rect id="_x0000_i1025" o:hralign="center" o:hrstd="t" o:hr="t" style="width:0pt;height:1.5pt;visibility:visible" fillcolor="#000000" strokeweight="1pt" strokecolor="#000000"/>
              </w:pict>
            </w:r>
          </w:p>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(Name of Issuer)</w:t>
            </w:r>
          </w:p>
          <w:p>
            <w:pPr>
              <w:spacing w:before="0" w:after="0" w:lineRule="auto" w:line="240"/>
              <w:jc w:val="left"/>
              <w:rPr>
                <w:rFonts w:ascii="arial" w:eastAsia="arial" w:hAnsi="arial" w:cs="arial"/>
                <w:b w:val="false"/>
                <w:bCs w:val="false"/>
                <w:i w:val="false"/>
                <w:color w:val="000000"/>
                <w:sz w:val="22"/>
                <w:szCs w:val="22"/>
              </w:rPr>
            </w:pPr>
            <w:r>
              <w:br/>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FF"/>
                <w:sz w:val="22"/>
                <w:szCs w:val="22"/>
              </w:rPr>
            </w:pPr>
            <w:r>
              <w:rPr>
                <w:rFonts w:ascii="arial" w:eastAsia="arial" w:hAnsi="arial" w:cs="arial"/>
                <w:b/>
                <w:bCs/>
                <w:i w:val="false"/>
                <w:color w:val="0000FF"/>
                <w:sz w:val="22"/>
                <w:szCs w:val="22"/>
              </w:rPr>
              <w:t>Common Stock, par value $0.0001 per share</w:t>
            </w:r>
          </w:p>
          <w:p>
            <w:pPr/>
            <w:r>
              <w:pict>
                <v:rect id="_x0000_i1025" o:hralign="center" o:hrstd="t" o:hr="t" style="width:0pt;height:1.5pt;visibility:visible" fillcolor="#000000" strokeweight="1pt" strokecolor="#000000"/>
              </w:pict>
            </w:r>
          </w:p>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(Title of Class of Securities)</w:t>
            </w:r>
          </w:p>
          <w:p>
            <w:pPr>
              <w:spacing w:before="0" w:after="0" w:lineRule="auto" w:line="240"/>
              <w:jc w:val="left"/>
              <w:rPr>
                <w:rFonts w:ascii="arial" w:eastAsia="arial" w:hAnsi="arial" w:cs="arial"/>
                <w:b w:val="false"/>
                <w:bCs w:val="false"/>
                <w:i w:val="false"/>
                <w:color w:val="000000"/>
                <w:sz w:val="22"/>
                <w:szCs w:val="22"/>
              </w:rPr>
            </w:pPr>
            <w:r>
              <w:br/>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Style w:val="Table Grid"/>
        <w:tblW w:w="5000" w:type="pct"/>
        <w:jc w:val="left"/>
        <w:tblCellSpacing w:w="0" w:type="dxa"/>
        <w:tblInd w:w="0" w:type="dxa"/>
        <w:tblBorders>
          <w:top w:val="nil"/>
          <w:left w:val="nil"/>
          <w:bottom w:val="nil"/>
          <w:right w:val="nil"/>
          <w:insideH w:val="single" w:sz="8" w:color="000000"/>
          <w:insideV w:val="single" w:sz="8" w:color="000000"/>
        </w:tblBorders>
        <w:tblLook w:firstRow="1" w:lastRow="0" w:firstColumn="1" w:lastColumn="0" w:noHBand="0" w:noVBand="1" w:val="04A0"/>
      </w:tblPr>
      <w:tr>
        <w:trPr>
          <w:cnfStyle w:val="000000000000"/>
        </w:trPr>
        <w:tc>
          <w:tcPr>
            <w:cnfStyle w:val="000000000000"/>
            <w:tcMar>
              <w:top w:w="120" w:type="dxa"/>
              <w:left w:w="120" w:type="dxa"/>
              <w:bottom w:w="120" w:type="dxa"/>
              <w:right w:w="120" w:type="dxa"/>
            </w:tcMar>
            <w:vAlign w:val="top"/>
          </w:tcPr>
          <w:p>
            <w:pPr>
              <w:cnfStyle w:val="000000000000"/>
              <w:shd w:val="clear" w:fill="FFFFFF"/>
              <w:spacing w:before="0" w:after="0" w:lineRule="auto" w:line="240"/>
              <w:ind w:left="0" w:right="0"/>
              <w:jc w:val="center"/>
              <w:rPr>
                <w:rFonts w:ascii="arial" w:eastAsia="arial" w:hAnsi="arial" w:cs="arial"/>
                <w:b/>
                <w:bCs/>
                <w:i w:val="false"/>
                <w:color w:val="0000FF"/>
                <w:sz w:val="24"/>
                <w:szCs w:val="24"/>
              </w:rPr>
            </w:pPr>
            <w:r>
              <w:rPr>
                <w:rFonts w:ascii="arial" w:eastAsia="arial" w:hAnsi="arial" w:cs="arial"/>
                <w:b/>
                <w:bCs/>
                <w:i w:val="false"/>
                <w:color w:val="0000FF"/>
                <w:sz w:val="24"/>
                <w:szCs w:val="24"/>
              </w:rPr>
              <w:t>09090D509</w:t>
            </w:r>
          </w:p>
          <w:p>
            <w:pPr>
              <w:cnfStyle w:val="000000000000"/>
            </w:pPr>
            <w:r>
              <w:pict>
                <v:rect id="_x0000_i1025" o:hralign="center" o:hrstd="t" o:hr="t" style="width:0pt;height:1.5pt;visibility:visible" fillcolor="#000000" strokeweight="1pt" strokecolor="#000000"/>
              </w:pict>
            </w:r>
          </w:p>
          <w:p>
            <w:pPr>
              <w:cnfStyle w:val="000000000000"/>
              <w:shd w:val="clear" w:fill="FFFFFF"/>
              <w:spacing w:before="0" w:after="0" w:lineRule="auto" w:line="240"/>
              <w:ind w:left="0" w:right="0"/>
              <w:jc w:val="center"/>
              <w:rPr>
                <w:rFonts w:ascii="arial" w:eastAsia="arial" w:hAnsi="arial" w:cs="arial"/>
                <w:b/>
                <w:bCs/>
                <w:i w:val="false"/>
                <w:color w:val="000000"/>
                <w:sz w:val="24"/>
                <w:szCs w:val="24"/>
              </w:rPr>
            </w:pPr>
            <w:r>
              <w:rPr>
                <w:rFonts w:ascii="arial" w:eastAsia="arial" w:hAnsi="arial" w:cs="arial"/>
                <w:b/>
                <w:bCs/>
                <w:i w:val="false"/>
                <w:color w:val="000000"/>
                <w:sz w:val="24"/>
                <w:szCs w:val="24"/>
              </w:rPr>
              <w:t>(CUSIP Number)</w:t>
            </w:r>
          </w:p>
        </w:tc>
      </w:tr>
      <w:tr>
        <w:trPr>
          <w:cnfStyle w:val="000000000000"/>
        </w:trPr>
        <w:tc>
          <w:tcPr>
            <w:cnfStyle w:val="000000000000"/>
            <w:tcMar>
              <w:top w:w="120" w:type="dxa"/>
              <w:left w:w="120" w:type="dxa"/>
              <w:bottom w:w="120" w:type="dxa"/>
              <w:right w:w="120" w:type="dxa"/>
            </w:tcMar>
            <w:vAlign w:val="top"/>
          </w:tcPr>
          <w:p>
            <w:pPr>
              <w:cnfStyle w:val="000000000000"/>
              <w:shd w:val="clear" w:fill="FFFFFF"/>
              <w:spacing w:before="0" w:after="0" w:lineRule="auto" w:line="240"/>
              <w:ind w:left="0" w:right="0"/>
              <w:jc w:val="center"/>
              <w:rPr>
                <w:rFonts w:ascii="arial" w:eastAsia="arial" w:hAnsi="arial" w:cs="arial"/>
                <w:b/>
                <w:bCs/>
                <w:i w:val="false"/>
                <w:color w:val="0000FF"/>
                <w:sz w:val="24"/>
                <w:szCs w:val="24"/>
              </w:rPr>
            </w:pPr>
            <w:r>
              <w:rPr>
                <w:rFonts w:ascii="arial" w:eastAsia="arial" w:hAnsi="arial" w:cs="arial"/>
                <w:b/>
                <w:bCs/>
                <w:i w:val="false"/>
                <w:color w:val="0000FF"/>
                <w:sz w:val="24"/>
                <w:szCs w:val="24"/>
              </w:rPr>
              <w:t>06/30/2026</w:t>
            </w:r>
          </w:p>
          <w:p>
            <w:pPr>
              <w:cnfStyle w:val="000000000000"/>
            </w:pPr>
            <w:r>
              <w:pict>
                <v:rect id="_x0000_i1025" o:hralign="center" o:hrstd="t" o:hr="t" style="width:0pt;height:1.5pt;visibility:visible" fillcolor="#000000" strokeweight="1pt" strokecolor="#000000"/>
              </w:pict>
            </w:r>
          </w:p>
          <w:p>
            <w:pPr>
              <w:cnfStyle w:val="000000000000"/>
              <w:shd w:val="clear" w:fill="FFFFFF"/>
              <w:spacing w:before="0" w:after="0" w:lineRule="auto" w:line="240"/>
              <w:ind w:left="0" w:right="0"/>
              <w:jc w:val="center"/>
              <w:rPr>
                <w:rFonts w:ascii="arial" w:eastAsia="arial" w:hAnsi="arial" w:cs="arial"/>
                <w:b/>
                <w:bCs/>
                <w:i w:val="false"/>
                <w:color w:val="000000"/>
                <w:sz w:val="24"/>
                <w:szCs w:val="24"/>
              </w:rPr>
            </w:pPr>
            <w:r>
              <w:rPr>
                <w:rFonts w:ascii="arial" w:eastAsia="arial" w:hAnsi="arial" w:cs="arial"/>
                <w:b/>
                <w:bCs/>
                <w:i w:val="false"/>
                <w:color w:val="000000"/>
                <w:sz w:val="24"/>
                <w:szCs w:val="24"/>
              </w:rPr>
              <w:t>(Date of Event Which Requires Filing of this Statement)</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Pr>
      <w:tr>
        <w:tc>
          <w:tcPr>
            <w:tcW w:w="4500" w:type="dxa"/>
            <w:shd w:val="clear" w:fill="E0E0FF"/>
            <w:tcMar>
              <w:top w:w="120" w:type="dxa"/>
              <w:left w:w="120" w:type="dxa"/>
              <w:bottom w:w="120" w:type="dxa"/>
              <w:right w:w="120" w:type="dxa"/>
            </w:tcMar>
            <w:vAlign w:val="top"/>
          </w:tcPr>
          <w:p>
            <w:pPr>
              <w:shd w:val="clear" w:fill="E0E0FF"/>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val="false"/>
                <w:bCs w:val="false"/>
                <w:i w:val="false"/>
                <w:color w:val="000000"/>
                <w:sz w:val="24"/>
                <w:szCs w:val="24"/>
              </w:rPr>
              <w:t>Check the appropriate box to designate the rule pursuant to which this Schedule is filed:</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1" name="Picture 1" descr="Checkbox not checked"/>
                  <a:graphic xmlns:a="http://schemas.openxmlformats.org/drawingml/2006/main">
                    <a:graphicData uri="http://schemas.openxmlformats.org/drawingml/2006/picture">
                      <pic:pic xmlns:pic="http://schemas.openxmlformats.org/drawingml/2006/picture">
                        <pic:nvPicPr>
                          <pic:cNvPr id="2" name="Picture 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13d-1(b)</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 name="Picture 3" descr="Checkbox checked"/>
                  <a:graphic xmlns:a="http://schemas.openxmlformats.org/drawingml/2006/main">
                    <a:graphicData uri="http://schemas.openxmlformats.org/drawingml/2006/picture">
                      <pic:pic xmlns:pic="http://schemas.openxmlformats.org/drawingml/2006/picture">
                        <pic:nvPicPr>
                          <pic:cNvPr id="4" name="Picture 4"/>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13d-1(c)</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5" name="Picture 5" descr="Checkbox not checked"/>
                  <a:graphic xmlns:a="http://schemas.openxmlformats.org/drawingml/2006/main">
                    <a:graphicData uri="http://schemas.openxmlformats.org/drawingml/2006/picture">
                      <pic:pic xmlns:pic="http://schemas.openxmlformats.org/drawingml/2006/picture">
                        <pic:nvPicPr>
                          <pic:cNvPr id="6" name="Picture 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13d-1(d)</w:t>
            </w:r>
          </w:p>
        </w:tc>
      </w:tr>
    </w:tbl>
    <w:p>
      <w:pPr/>
      <w:r>
        <w:pict>
          <v:rect id="_x0000_i1025" o:hralign="center" o:hrstd="t" o:hr="t" style="width:0pt;height:1.5pt;visibility:visible" fillcolor="#000000" strokeweight="1pt" strokecolor="#000000"/>
        </w:pict>
      </w:r>
    </w:p>
    <w:p>
      <w:pPr/>
      <w:r>
        <w:pict>
          <v:rect id="_x0000_i1025" o:hralign="center" o:hrstd="t" o:hr="t" style="width:0pt;height:4.5pt;visibility:visible" fillcolor="#000000" strokeweight="1pt" strokecolor="#000000"/>
        </w:pict>
      </w:r>
    </w:p>
    <w:p>
      <w:pPr>
        <w:spacing w:before="0" w:after="0" w:lineRule="auto" w:line="240"/>
        <w:rPr>
          <w:rFonts w:ascii="arial" w:eastAsia="arial" w:hAnsi="arial" w:cs="arial"/>
          <w:b w:val="false"/>
          <w:bCs w:val="false"/>
          <w:i w:val="false"/>
          <w:color w:val="000000"/>
          <w:sz w:val="24"/>
          <w:szCs w:val="24"/>
        </w:rPr>
      </w:pPr>
      <w:r>
        <w:br/>
      </w:r>
    </w:p>
    <w:p>
      <w:pPr>
        <w:spacing w:before="0" w:after="0" w:lineRule="auto" w:line="240"/>
        <w:ind w:left="0" w:right="0"/>
        <w:rPr>
          <w:rFonts w:ascii="arial" w:eastAsia="arial" w:hAnsi="arial" w:cs="arial"/>
          <w:b w:val="false"/>
          <w:bCs w:val="false"/>
          <w:i w:val="false"/>
          <w:vanish/>
          <w:color w:val="000000"/>
          <w:sz w:val="24"/>
          <w:szCs w:val="24"/>
        </w:rPr>
      </w:pPr>
      <w:r>
        <w:rPr>
          <w:rFonts w:ascii="arial" w:eastAsia="arial" w:hAnsi="arial" w:cs="arial"/>
          <w:b w:val="false"/>
          <w:bCs w:val="false"/>
          <w:i w:val="false"/>
          <w:vanish/>
          <w:color w:val="000000"/>
          <w:sz w:val="24"/>
          <w:szCs w:val="24"/>
        </w:rPr>
        <w:t>schemaVersion:</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Rodney Hodges</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7" name="Picture 7" descr="Checkbox not checked"/>
                  <a:graphic xmlns:a="http://schemas.openxmlformats.org/drawingml/2006/main">
                    <a:graphicData uri="http://schemas.openxmlformats.org/drawingml/2006/picture">
                      <pic:pic xmlns:pic="http://schemas.openxmlformats.org/drawingml/2006/picture">
                        <pic:nvPicPr>
                          <pic:cNvPr id="8" name="Picture 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9" name="Picture 9" descr="Checkbox not checked"/>
                  <a:graphic xmlns:a="http://schemas.openxmlformats.org/drawingml/2006/main">
                    <a:graphicData uri="http://schemas.openxmlformats.org/drawingml/2006/picture">
                      <pic:pic xmlns:pic="http://schemas.openxmlformats.org/drawingml/2006/picture">
                        <pic:nvPicPr>
                          <pic:cNvPr id="10" name="Picture 10"/>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UNITED KINGDOM</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11" name="Picture 11" descr="Checkbox not checked"/>
                  <a:graphic xmlns:a="http://schemas.openxmlformats.org/drawingml/2006/main">
                    <a:graphicData uri="http://schemas.openxmlformats.org/drawingml/2006/picture">
                      <pic:pic xmlns:pic="http://schemas.openxmlformats.org/drawingml/2006/picture">
                        <pic:nvPicPr>
                          <pic:cNvPr id="12" name="Picture 12"/>
                          <pic:cNvPicPr/>
                        </pic:nvPicPr>
                        <pic:blipFill>
                          <a:blip cstate="print" r:embed="PictureId1"/>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0.7 %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IN</w:t>
            </w:r>
          </w:p>
        </w:tc>
      </w:tr>
    </w:tbl>
    <w:p>
      <w:pPr>
        <w:spacing w:before="0" w:after="0" w:lineRule="auto" w:line="240"/>
        <w:ind w:left="0" w:right="0"/>
        <w:rPr>
          <w:rFonts w:ascii="arial" w:eastAsia="arial" w:hAnsi="arial" w:cs="arial"/>
          <w:b w:val="false"/>
          <w:bCs w:val="false"/>
          <w:i w:val="false"/>
          <w:color w:val="000000"/>
          <w:sz w:val="24"/>
          <w:szCs w:val="24"/>
        </w:rPr>
      </w:pPr>
    </w:p>
    <w:p>
      <w:pPr>
        <w:shd w:val="clear" w:fill="FFFFFF"/>
        <w:spacing w:before="0" w:after="0" w:lineRule="auto" w:line="240"/>
        <w:ind w:left="0" w:right="0"/>
        <w:jc w:val="both"/>
        <w:rPr>
          <w:rFonts w:ascii="arial" w:eastAsia="arial" w:hAnsi="arial" w:cs="arial"/>
          <w:b w:val="false"/>
          <w:bCs w:val="false"/>
          <w:i w:val="false"/>
          <w:color w:val="0000FF"/>
          <w:sz w:val="24"/>
          <w:szCs w:val="24"/>
        </w:rPr>
      </w:pPr>
      <w:r>
        <w:rPr>
          <w:rFonts w:ascii="arial" w:eastAsia="arial" w:hAnsi="arial" w:cs="arial"/>
          <w:b/>
          <w:bCs/>
          <w:i w:val="false"/>
          <w:color w:val="000000"/>
          <w:sz w:val="24"/>
          <w:szCs w:val="24"/>
        </w:rPr>
        <w:t>Comment for Type of Reporting Person:</w:t>
      </w:r>
      <w:r>
        <w:rPr>
          <w:rFonts w:ascii="arial" w:eastAsia="arial" w:hAnsi="arial" w:cs="arial"/>
          <w:b w:val="false"/>
          <w:bCs w:val="false"/>
          <w:i w:val="false"/>
          <w:color w:val="0000FF"/>
          <w:sz w:val="24"/>
          <w:szCs w:val="24"/>
        </w:rPr>
        <w:t xml:space="preserve">  The beneficial ownership of the Reporting Person includes 33,934 warrants held by Telmina Limited, exercisable within 60 days of August 13, 2026. The percentage above is based on the 11,797,449 shares of Common Stock of the Issuer that were outstanding as of June 22, 2026, based on information contained in the prospectus filed by the Issuer on July 14, 2026.</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Geneva Holding Company (GHC) SA</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13" name="Picture 13" descr="Checkbox not checked"/>
                  <a:graphic xmlns:a="http://schemas.openxmlformats.org/drawingml/2006/main">
                    <a:graphicData uri="http://schemas.openxmlformats.org/drawingml/2006/picture">
                      <pic:pic xmlns:pic="http://schemas.openxmlformats.org/drawingml/2006/picture">
                        <pic:nvPicPr>
                          <pic:cNvPr id="14" name="Picture 1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15" name="Picture 15" descr="Checkbox not checked"/>
                  <a:graphic xmlns:a="http://schemas.openxmlformats.org/drawingml/2006/main">
                    <a:graphicData uri="http://schemas.openxmlformats.org/drawingml/2006/picture">
                      <pic:pic xmlns:pic="http://schemas.openxmlformats.org/drawingml/2006/picture">
                        <pic:nvPicPr>
                          <pic:cNvPr id="16" name="Picture 1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SWITZERLAND</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17" name="Picture 17" descr="Checkbox not checked"/>
                  <a:graphic xmlns:a="http://schemas.openxmlformats.org/drawingml/2006/main">
                    <a:graphicData uri="http://schemas.openxmlformats.org/drawingml/2006/picture">
                      <pic:pic xmlns:pic="http://schemas.openxmlformats.org/drawingml/2006/picture">
                        <pic:nvPicPr>
                          <pic:cNvPr id="18" name="Picture 18"/>
                          <pic:cNvPicPr/>
                        </pic:nvPicPr>
                        <pic:blipFill>
                          <a:blip cstate="print" r:embed="PictureId1"/>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0.7 %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HC</w:t>
            </w:r>
          </w:p>
        </w:tc>
      </w:tr>
    </w:tbl>
    <w:p>
      <w:pPr>
        <w:spacing w:before="0" w:after="0" w:lineRule="auto" w:line="240"/>
        <w:ind w:left="0" w:right="0"/>
        <w:rPr>
          <w:rFonts w:ascii="arial" w:eastAsia="arial" w:hAnsi="arial" w:cs="arial"/>
          <w:b w:val="false"/>
          <w:bCs w:val="false"/>
          <w:i w:val="false"/>
          <w:color w:val="000000"/>
          <w:sz w:val="24"/>
          <w:szCs w:val="24"/>
        </w:rPr>
      </w:pPr>
    </w:p>
    <w:p>
      <w:pPr>
        <w:shd w:val="clear" w:fill="FFFFFF"/>
        <w:spacing w:before="0" w:after="0" w:lineRule="auto" w:line="240"/>
        <w:ind w:left="0" w:right="0"/>
        <w:jc w:val="both"/>
        <w:rPr>
          <w:rFonts w:ascii="arial" w:eastAsia="arial" w:hAnsi="arial" w:cs="arial"/>
          <w:b w:val="false"/>
          <w:bCs w:val="false"/>
          <w:i w:val="false"/>
          <w:color w:val="0000FF"/>
          <w:sz w:val="24"/>
          <w:szCs w:val="24"/>
        </w:rPr>
      </w:pPr>
      <w:r>
        <w:rPr>
          <w:rFonts w:ascii="arial" w:eastAsia="arial" w:hAnsi="arial" w:cs="arial"/>
          <w:b/>
          <w:bCs/>
          <w:i w:val="false"/>
          <w:color w:val="000000"/>
          <w:sz w:val="24"/>
          <w:szCs w:val="24"/>
        </w:rPr>
        <w:t>Comment for Type of Reporting Person:</w:t>
      </w:r>
      <w:r>
        <w:rPr>
          <w:rFonts w:ascii="arial" w:eastAsia="arial" w:hAnsi="arial" w:cs="arial"/>
          <w:b w:val="false"/>
          <w:bCs w:val="false"/>
          <w:i w:val="false"/>
          <w:color w:val="0000FF"/>
          <w:sz w:val="24"/>
          <w:szCs w:val="24"/>
        </w:rPr>
        <w:t xml:space="preserve">  The beneficial ownership of the Reporting Person includes 33,934 warrants held by Telmina Limited, exercisable within 60 days of August 13, 2026. The percentage above is based on the 11,797,449 shares of Common Stock of the Issuer that were outstanding as of June 22, 2026, based on information contained in the prospectus filed by the Issuer on July 14, 2026.</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Geneva Trust Company (GTC) SA</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19" name="Picture 19" descr="Checkbox not checked"/>
                  <a:graphic xmlns:a="http://schemas.openxmlformats.org/drawingml/2006/main">
                    <a:graphicData uri="http://schemas.openxmlformats.org/drawingml/2006/picture">
                      <pic:pic xmlns:pic="http://schemas.openxmlformats.org/drawingml/2006/picture">
                        <pic:nvPicPr>
                          <pic:cNvPr id="20" name="Picture 20"/>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21" name="Picture 21" descr="Checkbox not checked"/>
                  <a:graphic xmlns:a="http://schemas.openxmlformats.org/drawingml/2006/main">
                    <a:graphicData uri="http://schemas.openxmlformats.org/drawingml/2006/picture">
                      <pic:pic xmlns:pic="http://schemas.openxmlformats.org/drawingml/2006/picture">
                        <pic:nvPicPr>
                          <pic:cNvPr id="22" name="Picture 2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SWITZERLAND</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23" name="Picture 23" descr="Checkbox not checked"/>
                  <a:graphic xmlns:a="http://schemas.openxmlformats.org/drawingml/2006/main">
                    <a:graphicData uri="http://schemas.openxmlformats.org/drawingml/2006/picture">
                      <pic:pic xmlns:pic="http://schemas.openxmlformats.org/drawingml/2006/picture">
                        <pic:nvPicPr>
                          <pic:cNvPr id="24" name="Picture 24"/>
                          <pic:cNvPicPr/>
                        </pic:nvPicPr>
                        <pic:blipFill>
                          <a:blip cstate="print" r:embed="PictureId1"/>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0.7 %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HC</w:t>
            </w:r>
          </w:p>
        </w:tc>
      </w:tr>
    </w:tbl>
    <w:p>
      <w:pPr>
        <w:spacing w:before="0" w:after="0" w:lineRule="auto" w:line="240"/>
        <w:ind w:left="0" w:right="0"/>
        <w:rPr>
          <w:rFonts w:ascii="arial" w:eastAsia="arial" w:hAnsi="arial" w:cs="arial"/>
          <w:b w:val="false"/>
          <w:bCs w:val="false"/>
          <w:i w:val="false"/>
          <w:color w:val="000000"/>
          <w:sz w:val="24"/>
          <w:szCs w:val="24"/>
        </w:rPr>
      </w:pPr>
    </w:p>
    <w:p>
      <w:pPr>
        <w:shd w:val="clear" w:fill="FFFFFF"/>
        <w:spacing w:before="0" w:after="0" w:lineRule="auto" w:line="240"/>
        <w:ind w:left="0" w:right="0"/>
        <w:jc w:val="both"/>
        <w:rPr>
          <w:rFonts w:ascii="arial" w:eastAsia="arial" w:hAnsi="arial" w:cs="arial"/>
          <w:b w:val="false"/>
          <w:bCs w:val="false"/>
          <w:i w:val="false"/>
          <w:color w:val="0000FF"/>
          <w:sz w:val="24"/>
          <w:szCs w:val="24"/>
        </w:rPr>
      </w:pPr>
      <w:r>
        <w:rPr>
          <w:rFonts w:ascii="arial" w:eastAsia="arial" w:hAnsi="arial" w:cs="arial"/>
          <w:b/>
          <w:bCs/>
          <w:i w:val="false"/>
          <w:color w:val="000000"/>
          <w:sz w:val="24"/>
          <w:szCs w:val="24"/>
        </w:rPr>
        <w:t>Comment for Type of Reporting Person:</w:t>
      </w:r>
      <w:r>
        <w:rPr>
          <w:rFonts w:ascii="arial" w:eastAsia="arial" w:hAnsi="arial" w:cs="arial"/>
          <w:b w:val="false"/>
          <w:bCs w:val="false"/>
          <w:i w:val="false"/>
          <w:color w:val="0000FF"/>
          <w:sz w:val="24"/>
          <w:szCs w:val="24"/>
        </w:rPr>
        <w:t xml:space="preserve">  The beneficial ownership of the Reporting Person includes 33,934 warrants held by Telmina Limited, exercisable within 60 days of August 13, 2026. The percentage above is based on the 11,797,449 shares of Common Stock of the Issuer that were outstanding as of June 22, 2026, based on information contained in the prospectus filed by the Issuer on July 14, 2026.</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Centaurus Investments Limited</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25" name="Picture 25" descr="Checkbox not checked"/>
                  <a:graphic xmlns:a="http://schemas.openxmlformats.org/drawingml/2006/main">
                    <a:graphicData uri="http://schemas.openxmlformats.org/drawingml/2006/picture">
                      <pic:pic xmlns:pic="http://schemas.openxmlformats.org/drawingml/2006/picture">
                        <pic:nvPicPr>
                          <pic:cNvPr id="26" name="Picture 2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27" name="Picture 27" descr="Checkbox not checked"/>
                  <a:graphic xmlns:a="http://schemas.openxmlformats.org/drawingml/2006/main">
                    <a:graphicData uri="http://schemas.openxmlformats.org/drawingml/2006/picture">
                      <pic:pic xmlns:pic="http://schemas.openxmlformats.org/drawingml/2006/picture">
                        <pic:nvPicPr>
                          <pic:cNvPr id="28" name="Picture 2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VIRGIN ISLANDS, BRITISH</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29" name="Picture 29" descr="Checkbox not checked"/>
                  <a:graphic xmlns:a="http://schemas.openxmlformats.org/drawingml/2006/main">
                    <a:graphicData uri="http://schemas.openxmlformats.org/drawingml/2006/picture">
                      <pic:pic xmlns:pic="http://schemas.openxmlformats.org/drawingml/2006/picture">
                        <pic:nvPicPr>
                          <pic:cNvPr id="30" name="Picture 30"/>
                          <pic:cNvPicPr/>
                        </pic:nvPicPr>
                        <pic:blipFill>
                          <a:blip cstate="print" r:embed="PictureId1"/>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0.7 %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HC</w:t>
            </w:r>
          </w:p>
        </w:tc>
      </w:tr>
    </w:tbl>
    <w:p>
      <w:pPr>
        <w:spacing w:before="0" w:after="0" w:lineRule="auto" w:line="240"/>
        <w:ind w:left="0" w:right="0"/>
        <w:rPr>
          <w:rFonts w:ascii="arial" w:eastAsia="arial" w:hAnsi="arial" w:cs="arial"/>
          <w:b w:val="false"/>
          <w:bCs w:val="false"/>
          <w:i w:val="false"/>
          <w:color w:val="000000"/>
          <w:sz w:val="24"/>
          <w:szCs w:val="24"/>
        </w:rPr>
      </w:pPr>
    </w:p>
    <w:p>
      <w:pPr>
        <w:shd w:val="clear" w:fill="FFFFFF"/>
        <w:spacing w:before="0" w:after="0" w:lineRule="auto" w:line="240"/>
        <w:ind w:left="0" w:right="0"/>
        <w:jc w:val="both"/>
        <w:rPr>
          <w:rFonts w:ascii="arial" w:eastAsia="arial" w:hAnsi="arial" w:cs="arial"/>
          <w:b w:val="false"/>
          <w:bCs w:val="false"/>
          <w:i w:val="false"/>
          <w:color w:val="0000FF"/>
          <w:sz w:val="24"/>
          <w:szCs w:val="24"/>
        </w:rPr>
      </w:pPr>
      <w:r>
        <w:rPr>
          <w:rFonts w:ascii="arial" w:eastAsia="arial" w:hAnsi="arial" w:cs="arial"/>
          <w:b/>
          <w:bCs/>
          <w:i w:val="false"/>
          <w:color w:val="000000"/>
          <w:sz w:val="24"/>
          <w:szCs w:val="24"/>
        </w:rPr>
        <w:t>Comment for Type of Reporting Person:</w:t>
      </w:r>
      <w:r>
        <w:rPr>
          <w:rFonts w:ascii="arial" w:eastAsia="arial" w:hAnsi="arial" w:cs="arial"/>
          <w:b w:val="false"/>
          <w:bCs w:val="false"/>
          <w:i w:val="false"/>
          <w:color w:val="0000FF"/>
          <w:sz w:val="24"/>
          <w:szCs w:val="24"/>
        </w:rPr>
        <w:t xml:space="preserve">  The beneficial ownership of the Reporting Person includes 33,934 warrants held by Telmina Limited, exercisable within 60 days of August 13, 2026. The percentage above is based on the 11,797,449 shares of Common Stock of the Issuer that were outstanding as of June 22, 2026, based on information contained in the prospectus filed by the Issuer on July 14, 2026.</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Telmina Limited</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31" name="Picture 31" descr="Checkbox not checked"/>
                  <a:graphic xmlns:a="http://schemas.openxmlformats.org/drawingml/2006/main">
                    <a:graphicData uri="http://schemas.openxmlformats.org/drawingml/2006/picture">
                      <pic:pic xmlns:pic="http://schemas.openxmlformats.org/drawingml/2006/picture">
                        <pic:nvPicPr>
                          <pic:cNvPr id="32" name="Picture 3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33" name="Picture 33" descr="Checkbox not checked"/>
                  <a:graphic xmlns:a="http://schemas.openxmlformats.org/drawingml/2006/main">
                    <a:graphicData uri="http://schemas.openxmlformats.org/drawingml/2006/picture">
                      <pic:pic xmlns:pic="http://schemas.openxmlformats.org/drawingml/2006/picture">
                        <pic:nvPicPr>
                          <pic:cNvPr id="34" name="Picture 3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VIRGIN ISLANDS, BRITISH</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82,618.00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35" name="Picture 35" descr="Checkbox not checked"/>
                  <a:graphic xmlns:a="http://schemas.openxmlformats.org/drawingml/2006/main">
                    <a:graphicData uri="http://schemas.openxmlformats.org/drawingml/2006/picture">
                      <pic:pic xmlns:pic="http://schemas.openxmlformats.org/drawingml/2006/picture">
                        <pic:nvPicPr>
                          <pic:cNvPr id="36" name="Picture 36"/>
                          <pic:cNvPicPr/>
                        </pic:nvPicPr>
                        <pic:blipFill>
                          <a:blip cstate="print" r:embed="PictureId1"/>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0.7 %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HC</w:t>
            </w:r>
          </w:p>
        </w:tc>
      </w:tr>
    </w:tbl>
    <w:p>
      <w:pPr>
        <w:spacing w:before="0" w:after="0" w:lineRule="auto" w:line="240"/>
        <w:ind w:left="0" w:right="0"/>
        <w:rPr>
          <w:rFonts w:ascii="arial" w:eastAsia="arial" w:hAnsi="arial" w:cs="arial"/>
          <w:b w:val="false"/>
          <w:bCs w:val="false"/>
          <w:i w:val="false"/>
          <w:color w:val="000000"/>
          <w:sz w:val="24"/>
          <w:szCs w:val="24"/>
        </w:rPr>
      </w:pPr>
    </w:p>
    <w:p>
      <w:pPr>
        <w:shd w:val="clear" w:fill="FFFFFF"/>
        <w:spacing w:before="0" w:after="0" w:lineRule="auto" w:line="240"/>
        <w:ind w:left="0" w:right="0"/>
        <w:jc w:val="both"/>
        <w:rPr>
          <w:rFonts w:ascii="arial" w:eastAsia="arial" w:hAnsi="arial" w:cs="arial"/>
          <w:b w:val="false"/>
          <w:bCs w:val="false"/>
          <w:i w:val="false"/>
          <w:color w:val="0000FF"/>
          <w:sz w:val="24"/>
          <w:szCs w:val="24"/>
        </w:rPr>
      </w:pPr>
      <w:r>
        <w:rPr>
          <w:rFonts w:ascii="arial" w:eastAsia="arial" w:hAnsi="arial" w:cs="arial"/>
          <w:b/>
          <w:bCs/>
          <w:i w:val="false"/>
          <w:color w:val="000000"/>
          <w:sz w:val="24"/>
          <w:szCs w:val="24"/>
        </w:rPr>
        <w:t>Comment for Type of Reporting Person:</w:t>
      </w:r>
      <w:r>
        <w:rPr>
          <w:rFonts w:ascii="arial" w:eastAsia="arial" w:hAnsi="arial" w:cs="arial"/>
          <w:b w:val="false"/>
          <w:bCs w:val="false"/>
          <w:i w:val="false"/>
          <w:color w:val="0000FF"/>
          <w:sz w:val="24"/>
          <w:szCs w:val="24"/>
        </w:rPr>
        <w:t xml:space="preserve">  The beneficial ownership of the Reporting Person includes 33,934 warrants held by Telmina Limited, exercisable within 60 days of August 13, 2026. The percentage above is based on the 11,797,449 shares of Common Stock of the Issuer that were outstanding as of June 22, 2026, based on information contained in the prospectus filed by the Issuer on July 14, 2026.</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1.</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 of issuer: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BiomX Inc.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Address of issuer's principal executive offices: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850 New Burton Road, Suite 201, Dover, DE 19904</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2.</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 of person filing: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This Amendment No. 2 (the "Amendment") to the Statement of Beneficial Ownership on Schedule 13G originally filed on May 15, 2025 (the "Schedule 13G"), and as amended on May 14, 2026, is being filed by each of: (i) Telmina Limited; (ii) Centaurus Investments Limited; (iii) Geneva Holding Company (GHC) SA; (iv) Geneva Trust Company (GTC) SA (all of which, above, are the "Reporting Entities"); and (v) Rodney Hodges (the "Reporting Individual"), (each a "Reporting Person" and, collectively, the "Reporting Persons"). This Amendment to Schedule 13G is being filed pursuant to a Joint Filing Agreement (the "Joint Filing Agreement"), a copy of which was filed as Exhibit 99.1 to the Schedule 13G. Telmina Limited ("Telmina") is an investment holding company that purchased the Shares (as defined below) of the Issuer that are the subject of this Amendment to Schedule 13G. The entire share capital of Centaurus Investments Limited, the parent holding company of Telmina, is held by Geneva Trust Company (GTC) SA (as trustee of the VT Two Trust). Geneva Trust Company (GTC) SA, a subsidiary of Geneva Holding Company (GHC) SA, as trustee of VT Two Trust, has the authority to dispose of and exercise control over the disposal of the assets of the VT Two Trust. Mr. Rodney Hodges holds 100% of the share capital of Geneva Holding Company (GHC) SA. The Reporting Individual does not make day-to-day voting or investment decisions with respect to the Shares held by the Reporting Entities and therefore disclaims beneficial ownership of them except to the extent of his pecuniary interest therein.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Address or principal business office or, if none, residence: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The principal business office of each of the Reporting Persons are: Rodney Hodges, Rue de l'Athenee 34, 1206 Geneva, Switzerland; Geneva Holding Company (GHC) SA, Rue de l'Athenee 34, 1206 Geneva, Switzerland; Geneva Trust Company (GTC) SA, Rue de l'Athenee 34, 1206 Geneva, Switzerland; Centaurus Investments Limited, Woodbourne Hall, PO Box 3162, Road Town, Tortola VG 1110, British Virgin Islands; Telmina Limited, Woodbourne Hall, PO Box 3162, Road Town, Tortola VG 1110, British Virgin Islands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Geneva Holding Company (GHC) SA, and Geneva Trust Company (GTC) SA are organized under the laws of Switzerland and Centaurus Investments Limited and Telmina Limited are organized under the laws of the British Virgin Islands. The Reporting Individual is a citizen of the United Kingdom.</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(d)</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Title of class of securities: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Common Stock, par value $0.0001 per share</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CUSIP No.: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09090D509</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3.</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If this statement is filed pursuant to §§ 240.13d-1(b) or 240.13d-2(b) or (c), check whether the person filing is a:</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7" name="Picture 37" descr="Checkbox not checked"/>
                  <a:graphic xmlns:a="http://schemas.openxmlformats.org/drawingml/2006/main">
                    <a:graphicData uri="http://schemas.openxmlformats.org/drawingml/2006/picture">
                      <pic:pic xmlns:pic="http://schemas.openxmlformats.org/drawingml/2006/picture">
                        <pic:nvPicPr>
                          <pic:cNvPr id="38" name="Picture 3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Broker or dealer registered under section 15 of the Act (15 U.S.C. 78o);</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9" name="Picture 39" descr="Checkbox not checked"/>
                  <a:graphic xmlns:a="http://schemas.openxmlformats.org/drawingml/2006/main">
                    <a:graphicData uri="http://schemas.openxmlformats.org/drawingml/2006/picture">
                      <pic:pic xmlns:pic="http://schemas.openxmlformats.org/drawingml/2006/picture">
                        <pic:nvPicPr>
                          <pic:cNvPr id="40" name="Picture 40"/>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Bank as defined in section 3(a)(6) of the Act (15 U.S.C. 78c);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1" name="Picture 41" descr="Checkbox not checked"/>
                  <a:graphic xmlns:a="http://schemas.openxmlformats.org/drawingml/2006/main">
                    <a:graphicData uri="http://schemas.openxmlformats.org/drawingml/2006/picture">
                      <pic:pic xmlns:pic="http://schemas.openxmlformats.org/drawingml/2006/picture">
                        <pic:nvPicPr>
                          <pic:cNvPr id="42" name="Picture 4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Insurance company as defined in section 3(a)(19) of the Act (15 U.S.C. 78c);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(d)</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3" name="Picture 43" descr="Checkbox not checked"/>
                  <a:graphic xmlns:a="http://schemas.openxmlformats.org/drawingml/2006/main">
                    <a:graphicData uri="http://schemas.openxmlformats.org/drawingml/2006/picture">
                      <pic:pic xmlns:pic="http://schemas.openxmlformats.org/drawingml/2006/picture">
                        <pic:nvPicPr>
                          <pic:cNvPr id="44" name="Picture 4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Investment company registered under section 8 of the Investment Company Act of 1940 (15 U.S.C. 80a-8);</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5" name="Picture 45" descr="Checkbox not checked"/>
                  <a:graphic xmlns:a="http://schemas.openxmlformats.org/drawingml/2006/main">
                    <a:graphicData uri="http://schemas.openxmlformats.org/drawingml/2006/picture">
                      <pic:pic xmlns:pic="http://schemas.openxmlformats.org/drawingml/2006/picture">
                        <pic:nvPicPr>
                          <pic:cNvPr id="46" name="Picture 4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An investment adviser in accordance with § 240.13d-1(b)(1)(ii)(E);</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(f)</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7" name="Picture 47" descr="Checkbox not checked"/>
                  <a:graphic xmlns:a="http://schemas.openxmlformats.org/drawingml/2006/main">
                    <a:graphicData uri="http://schemas.openxmlformats.org/drawingml/2006/picture">
                      <pic:pic xmlns:pic="http://schemas.openxmlformats.org/drawingml/2006/picture">
                        <pic:nvPicPr>
                          <pic:cNvPr id="48" name="Picture 4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An employee benefit plan or endowment fund in accordance with § 240.13d-1(b)(1)(ii)(F);</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(g)</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9" name="Picture 49" descr="Checkbox not checked"/>
                  <a:graphic xmlns:a="http://schemas.openxmlformats.org/drawingml/2006/main">
                    <a:graphicData uri="http://schemas.openxmlformats.org/drawingml/2006/picture">
                      <pic:pic xmlns:pic="http://schemas.openxmlformats.org/drawingml/2006/picture">
                        <pic:nvPicPr>
                          <pic:cNvPr id="50" name="Picture 50"/>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parent holding company or control person in accordance with § 240.13d-1(b)(1)(ii)(G);</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(h)</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51" name="Picture 51" descr="Checkbox not checked"/>
                  <a:graphic xmlns:a="http://schemas.openxmlformats.org/drawingml/2006/main">
                    <a:graphicData uri="http://schemas.openxmlformats.org/drawingml/2006/picture">
                      <pic:pic xmlns:pic="http://schemas.openxmlformats.org/drawingml/2006/picture">
                        <pic:nvPicPr>
                          <pic:cNvPr id="52" name="Picture 5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savings associations as defined in Section 3(b) of the Federal Deposit Insurance Act (12 U.S.C. 1813);</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53" name="Picture 53" descr="Checkbox not checked"/>
                  <a:graphic xmlns:a="http://schemas.openxmlformats.org/drawingml/2006/main">
                    <a:graphicData uri="http://schemas.openxmlformats.org/drawingml/2006/picture">
                      <pic:pic xmlns:pic="http://schemas.openxmlformats.org/drawingml/2006/picture">
                        <pic:nvPicPr>
                          <pic:cNvPr id="54" name="Picture 5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church plan that is excluded from the definition of an investment company under section 3(c)(14) of the Investment Company Act of 1940 (15 U.S.C. 80a-3);</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(j)</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55" name="Picture 55" descr="Checkbox not checked"/>
                  <a:graphic xmlns:a="http://schemas.openxmlformats.org/drawingml/2006/main">
                    <a:graphicData uri="http://schemas.openxmlformats.org/drawingml/2006/picture">
                      <pic:pic xmlns:pic="http://schemas.openxmlformats.org/drawingml/2006/picture">
                        <pic:nvPicPr>
                          <pic:cNvPr id="56" name="Picture 5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non-U.S. institution in accordance with § 240.13d-1(b)(1)(ii)(J). If filing as a non-U.S. institution in accordance with § 240.13d-1(b)(1)(ii)(J), </w:t>
            </w:r>
            <w:r>
              <w:br/>
            </w:r>
            <w:r>
              <w:rPr>
                <w:rFonts w:ascii="arial" w:eastAsia="arial" w:hAnsi="arial" w:cs="arial"/>
                <w:b/>
                <w:bCs/>
                <w:i w:val="false"/>
                <w:color w:val="000000"/>
                <w:sz w:val="22"/>
                <w:szCs w:val="22"/>
              </w:rPr>
              <w:t xml:space="preserve">       please specify the type of institution: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(k)</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57" name="Picture 57" descr="Checkbox not checked"/>
                  <a:graphic xmlns:a="http://schemas.openxmlformats.org/drawingml/2006/main">
                    <a:graphicData uri="http://schemas.openxmlformats.org/drawingml/2006/picture">
                      <pic:pic xmlns:pic="http://schemas.openxmlformats.org/drawingml/2006/picture">
                        <pic:nvPicPr>
                          <pic:cNvPr id="58" name="Picture 5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Group, in accordance with Rule 240.13d-1(b)(1)(ii)(K).</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5000" w:type="pct"/>
            <w:gridSpan w:val="2"/>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4.</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Amount beneficially owned: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Rodney Hodges: 82,618 Geneva Holding Company (GHC) SA: 82,618 Geneva Trust Company (GTC) SA: 82,618 Centaurus Investments Limited: 82,618 Telmina Limited: 82,618</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Rodney Hodges: 0.7% Geneva Holding Company (GHC) SA: 0.70% Geneva Trust Company (GTC) SA: 0.7% Centaurus Investments Limited: 0.70% Telmina Limited: 0.7%</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Number of shares as to which the person has: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 Sole power to vote or to direct the vote: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Rodney Hodges: 0 Geneva Holding Company (GHC) SA: 0 Geneva Trust Company (GTC) SA: 0 Centaurus Investments Limited: 0 Telmina Limited: 0</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(ii) Shared power to vote or to direct the vote: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Rodney Hodges: 82,618 Geneva Holding Company (GHC) SA: 82,618 Geneva Trust Company (GTC) SA: 82,618 Centaurus Investments Limited: 82,618 Telmina Limited: 82,618</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(iii) Sole power to dispose or to direct the disposition of: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Rodney Hodges: 0 Geneva Holding Company (GHC) SA: 0 Geneva Trust Company (GTC) SA: 0 Centaurus Investments Limited: 0 Telmina Limited: 0</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(iv) Shared power to dispose or to direct the disposition of: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Rodney Hodges: 82,618 Geneva Holding Company (GHC) SA: 82,618 Geneva Trust Company (GTC) SA: 82,618 Centaurus Investments Limited: 82,618 Telmina Limited: 82,618 Based on a prospectus filed by the Issuer on July 14, 2026, there were 11,797,449 shares of Common Stock of the Issuer that were outstanding as of June 22, 2026.</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5.</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 of 5 Percent or Less of a Class.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59" name="Picture 59" descr="Checkbox checked"/>
                  <a:graphic xmlns:a="http://schemas.openxmlformats.org/drawingml/2006/main">
                    <a:graphicData uri="http://schemas.openxmlformats.org/drawingml/2006/picture">
                      <pic:pic xmlns:pic="http://schemas.openxmlformats.org/drawingml/2006/picture">
                        <pic:nvPicPr>
                          <pic:cNvPr id="60" name="Picture 60"/>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Ownership of 5 percent or less of a class</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6.</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 of more than 5 Percent on Behalf of Another Person.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7.</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Identification and Classification of the Subsidiary Which Acquired the Security Being Reported on by the Parent Holding Company or Control Person.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8.</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Identification and Classification of Members of the Group.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9.</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Notice of Dissolution of Group.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bl>
    <w:p>
      <w:pPr>
        <w:spacing w:before="0" w:after="0" w:lineRule="auto" w:line="240"/>
        <w:ind w:left="0" w:right="0"/>
        <w:rPr>
          <w:rFonts w:ascii="arial" w:eastAsia="arial" w:hAnsi="arial" w:cs="arial"/>
          <w:b w:val="false"/>
          <w:bCs w:val="false"/>
          <w:i w:val="false"/>
          <w:color w:val="000000"/>
          <w:sz w:val="24"/>
          <w:szCs w:val="24"/>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10.</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Certifications: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By signing below I certify that, to the best of my knowledge and belief, the securities referred to above were not acquired and are not held for the purpose of or with the effect of changing or influencing the control of the issuer of the securities and were not acquired and are not held in connection with or as a participant in any transaction having that purpose or effect, other than activities solely in connection with a nomination under § 240.14a-11.</w:t>
            </w:r>
          </w:p>
        </w:tc>
      </w:tr>
    </w:tbl>
    <w:p>
      <w:pPr>
        <w:spacing w:before="0" w:after="0" w:lineRule="auto" w:line="240"/>
        <w:ind w:left="0" w:right="0"/>
        <w:rPr>
          <w:rFonts w:ascii="arial" w:eastAsia="arial" w:hAnsi="arial" w:cs="arial"/>
          <w:b w:val="false"/>
          <w:bCs w:val="false"/>
          <w:i w:val="false"/>
          <w:color w:val="000000"/>
          <w:sz w:val="24"/>
          <w:szCs w:val="24"/>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SIGNATURE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 xml:space="preserve">After reasonable inquiry and to the best of my knowledge and belief, I certify that the information set forth in this statement is true, complete and correct. </w:t>
            </w:r>
            <w:r>
              <w:br/>
            </w: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Rodney Hodges</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Rodney Hodges</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Rodney Hodges</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Geneva Holding Company (GHC) SA</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Rodney Hodges</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Rodney Hodges/Authorized Signatory</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Tobais Reinmann</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Tobias Reinmann/Authorized Signatory</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Geneva Trust Company (GTC) SA</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Rodney Hodges</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Rodney Hodges/Authorized Signatory</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Tobias Reinmann</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Tobias Reinmann/Authorized Signatory</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Centaurus Investments Limited</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Rodney Hodges</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Rodney Hodges/Authorized Signatory for and on behalf of Champel Directors Limited</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Tobias Reinmann</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Tobias Reinmann/Authorized Signatory for and on behalf of Florissant Global Limited</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Telmina Limited</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Rodney Hodges</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Rodney Hodges/Authorized Signatory for and on behalf of Champel Directors Limited</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Tobias Reinmann</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Tobias Reinmann/Authorized Signatory for and on behalf of Florissant Global Limited</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08/13/2026</w:t>
                  </w:r>
                </w:p>
              </w:tc>
            </w:tr>
          </w:tbl>
          <w:p>
            <w:pPr/>
          </w:p>
        </w:tc>
      </w:tr>
    </w:tbl>
    <w:p>
      <w:pPr>
        <w:spacing w:before="0" w:after="0" w:lineRule="auto" w:line="240"/>
        <w:ind w:left="0" w:right="0"/>
        <w:rPr>
          <w:rFonts w:ascii="arial" w:eastAsia="arial" w:hAnsi="arial" w:cs="arial"/>
          <w:b w:val="false"/>
          <w:bCs w:val="false"/>
          <w:i w:val="false"/>
          <w:color w:val="000000"/>
          <w:sz w:val="24"/>
          <w:szCs w:val="24"/>
        </w:rPr>
      </w:pPr>
    </w:p>
    <w:p>
      <w:pPr>
        <w:shd w:val="clear" w:fill="FFFFFF"/>
        <w:spacing w:before="0" w:after="0" w:lineRule="auto" w:line="240"/>
        <w:ind w:left="0" w:right="0"/>
        <w:jc w:val="both"/>
        <w:rPr>
          <w:rFonts w:ascii="arial" w:eastAsia="arial" w:hAnsi="arial" w:cs="arial"/>
          <w:b w:val="false"/>
          <w:bCs w:val="false"/>
          <w:i w:val="false"/>
          <w:color w:val="0000FF"/>
          <w:sz w:val="24"/>
          <w:szCs w:val="24"/>
        </w:rPr>
      </w:pPr>
      <w:r>
        <w:rPr>
          <w:rFonts w:ascii="arial" w:eastAsia="arial" w:hAnsi="arial" w:cs="arial"/>
          <w:b/>
          <w:bCs/>
          <w:i w:val="false"/>
          <w:color w:val="000000"/>
          <w:sz w:val="24"/>
          <w:szCs w:val="24"/>
        </w:rPr>
        <w:t>Comments accompanying signature:</w:t>
      </w:r>
      <w:r>
        <w:rPr>
          <w:rFonts w:ascii="arial" w:eastAsia="arial" w:hAnsi="arial" w:cs="arial"/>
          <w:b w:val="false"/>
          <w:bCs w:val="false"/>
          <w:i w:val="false"/>
          <w:color w:val="0000FF"/>
          <w:sz w:val="24"/>
          <w:szCs w:val="24"/>
        </w:rPr>
        <w:t xml:space="preserve">  99.1 Joint Filing Agreement, dated May 15, 2025, among Rodney Hodges, Geneva Holding Company (GHC) SA, Geneva Trust Company (GTC) SA, Centaurus Investments Limited, POD Sarl and Telmina Limited (incorporated by reference to Exhibit 99.1 to the Schedule 13G filed Centaurus Investments Limited by on May 15, 2025). https://www.sec.gov/Archives/edgar/data/1739174/000121390025044185/ea024213101ex99-1_biomx.htm</w:t>
      </w: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 w:type="table" w:styleId="Normal Table" w:default="true">
    <w:name w:val="Normal Table"/>
    <w:uiPriority w:val="99"/>
    <w:semiHidden/>
    <w:unhideWhenUsed/>
    <w:qFormat/>
    <w:pPr/>
    <w:rPr/>
    <w:tblPr>
      <w:tblStyleRowBandSize w:val="1"/>
      <w:tblStyleColBandSize w:val="1"/>
      <w:tblInd w:w="0" w:type="dxa"/>
      <w:tblCellMar>
        <w:top w:w="0" w:type="dxa"/>
        <w:left w:w="108" w:type="dxa"/>
        <w:bottom w:w="0" w:type="dxa"/>
        <w:right w:w="108" w:type="dxa"/>
      </w:tblCellMar>
    </w:tblPr>
    <w:trPr/>
    <w:tcPr/>
  </w:style>
  <w:style w:type="table" w:styleId="Table Grid">
    <w:name w:val="Table Grid"/>
    <w:basedOn w:val="Normal Table"/>
    <w:qFormat/>
    <w:pPr>
      <w:spacing w:after="0" w:lineRule="auto" w:line="240"/>
    </w:pPr>
    <w:rPr/>
    <w:tblPr>
      <w:tblStyleRowBandSize w:val="1"/>
      <w:tblStyleColBandSize w:val="1"/>
      <w:tblInd w:w="0" w:type="dxa"/>
      <w:tblBorders>
        <w:top w:val="single" w:sz="4" w:color="000000"/>
        <w:left w:val="single" w:sz="4" w:color="000000"/>
        <w:bottom w:val="single" w:sz="4" w:color="000000"/>
        <w:right w:val="single" w:sz="4" w:color="000000"/>
        <w:insideH w:val="single" w:sz="4" w:color="000000"/>
        <w:insideV w:val="single" w:sz="4" w:color="000000"/>
      </w:tblBorders>
      <w:tblCellMar>
        <w:top w:w="0" w:type="dxa"/>
        <w:left w:w="108" w:type="dxa"/>
        <w:bottom w:w="0" w:type="dxa"/>
        <w:right w:w="108" w:type="dxa"/>
      </w:tblCellMar>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PictureId1" Type="http://schemas.openxmlformats.org/officeDocument/2006/relationships/image" Target="media/image1.jpg" /><Relationship Id="PictureId2" Type="http://schemas.openxmlformats.org/officeDocument/2006/relationships/image" Target="media/image2.jpg"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