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Default Extension="jpg" ContentType="image/jpeg"/>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ody>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p>
    <w:p>
      <w:pPr/>
      <w:r>
        <w:pict>
          <v:rect id="_x0000_i1025" o:hralign="center" o:hrstd="t" o:hr="t" style="width:0pt;height:1.5pt;visibility:visible" fillcolor="#000000" strokeweight="1pt" strokecolor="#000000"/>
        </w:pict>
      </w:r>
    </w:p>
    <w:tbl>
      <w:tblPr>
        <w:tblW w:w="5000" w:type="pct"/>
        <w:jc w:val="left"/>
        <w:tblCellSpacing w:w="30" w:type="dxa"/>
        <w:tblInd w:w="0" w:type="dxa"/>
      </w:tblP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2"/>
                <w:szCs w:val="22"/>
              </w:rPr>
            </w:pPr>
            <w:r>
              <w:rPr>
                <w:rFonts w:ascii="arial" w:eastAsia="arial" w:hAnsi="arial" w:cs="arial"/>
                <w:b/>
                <w:bCs/>
                <w:i w:val="false"/>
                <w:color w:val="000000"/>
                <w:sz w:val="43"/>
                <w:szCs w:val="43"/>
              </w:rPr>
              <w:t xml:space="preserve">SECURITIES AND EXCHANGE COMMISSION </w:t>
            </w:r>
            <w:r>
              <w:br/>
            </w:r>
            <w:r>
              <w:rPr>
                <w:rFonts w:ascii="arial" w:eastAsia="arial" w:hAnsi="arial" w:cs="arial"/>
                <w:b/>
                <w:bCs/>
                <w:i w:val="false"/>
                <w:color w:val="000000"/>
                <w:sz w:val="43"/>
                <w:szCs w:val="43"/>
              </w:rPr>
              <w:t>Washington, D.C. 20549</w:t>
            </w:r>
          </w:p>
        </w:tc>
      </w:tr>
      <w:tr>
        <w:tc>
          <w:tcPr>
            <w:tcMar>
              <w:top w:w="120" w:type="dxa"/>
              <w:left w:w="120" w:type="dxa"/>
              <w:bottom w:w="120" w:type="dxa"/>
              <w:right w:w="120" w:type="dxa"/>
            </w:tcMar>
            <w:vAlign w:val="top"/>
          </w:tcPr>
          <w:p>
            <w:pPr>
              <w:spacing w:before="0" w:after="0" w:lineRule="auto" w:line="240"/>
              <w:jc w:val="center"/>
              <w:rPr>
                <w:rFonts w:ascii="arial" w:eastAsia="arial" w:hAnsi="arial" w:cs="arial"/>
                <w:b/>
                <w:bCs/>
                <w:i w:val="false"/>
                <w:color w:val="000000"/>
                <w:sz w:val="19"/>
                <w:szCs w:val="19"/>
              </w:rPr>
            </w:pPr>
            <w:r>
              <w:br/>
            </w:r>
          </w:p>
          <w:p>
            <w:pPr>
              <w:spacing w:before="0" w:after="0" w:lineRule="auto" w:line="240"/>
              <w:ind w:left="0" w:right="0"/>
              <w:jc w:val="center"/>
              <w:rPr>
                <w:rFonts w:ascii="arial" w:eastAsia="arial" w:hAnsi="arial" w:cs="arial"/>
                <w:b/>
                <w:bCs/>
                <w:i w:val="false"/>
                <w:color w:val="000000"/>
                <w:sz w:val="29"/>
                <w:szCs w:val="29"/>
              </w:rPr>
            </w:pPr>
            <w:r>
              <w:rPr>
                <w:rFonts w:ascii="arial" w:eastAsia="arial" w:hAnsi="arial" w:cs="arial"/>
                <w:b/>
                <w:bCs/>
                <w:i w:val="false"/>
                <w:color w:val="000000"/>
                <w:sz w:val="29"/>
                <w:szCs w:val="29"/>
              </w:rPr>
              <w:t>SCHEDULE 13G</w:t>
            </w:r>
          </w:p>
          <w:p>
            <w:pPr>
              <w:spacing w:before="0" w:after="0" w:lineRule="auto" w:line="240"/>
              <w:jc w:val="center"/>
              <w:rPr>
                <w:rFonts w:ascii="arial" w:eastAsia="arial" w:hAnsi="arial" w:cs="arial"/>
                <w:b/>
                <w:bCs/>
                <w:i w:val="false"/>
                <w:color w:val="000000"/>
                <w:sz w:val="19"/>
                <w:szCs w:val="19"/>
              </w:rPr>
            </w:pPr>
            <w:r>
              <w:br/>
            </w:r>
          </w:p>
        </w:tc>
      </w:tr>
      <w:tr>
        <w:tc>
          <w:tcPr>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bCs/>
                <w:i w:val="false"/>
                <w:color w:val="000000"/>
                <w:sz w:val="23"/>
                <w:szCs w:val="23"/>
              </w:rPr>
            </w:pPr>
            <w:r>
              <w:rPr>
                <w:rFonts w:ascii="arial" w:eastAsia="arial" w:hAnsi="arial" w:cs="arial"/>
                <w:b/>
                <w:bCs/>
                <w:i w:val="false"/>
                <w:color w:val="000000"/>
                <w:sz w:val="23"/>
                <w:szCs w:val="23"/>
              </w:rPr>
              <w:t>UNDER THE SECURITIES EXCHANGE ACT OF 1934</w:t>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(Amendment No. </w:t>
            </w:r>
            <w:r>
              <w:rPr>
                <w:rFonts w:ascii="arial" w:eastAsia="arial" w:hAnsi="arial" w:cs="arial"/>
                <w:b/>
                <w:bCs/>
                <w:i w:val="false"/>
                <w:color w:val="0000FF"/>
                <w:sz w:val="22"/>
                <w:szCs w:val="22"/>
              </w:rPr>
              <w:t>5</w:t>
            </w:r>
            <w:r>
              <w:rPr>
                <w:rFonts w:ascii="arial" w:eastAsia="arial" w:hAnsi="arial" w:cs="arial"/>
                <w:b/>
                <w:bCs/>
                <w:i w:val="false"/>
                <w:color w:val="000000"/>
                <w:sz w:val="22"/>
                <w:szCs w:val="22"/>
              </w:rPr>
              <w:t>)</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BiomX Inc.</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(Name of Issuer)</w:t>
            </w:r>
          </w:p>
          <w:p>
            <w:pPr>
              <w:spacing w:before="0" w:after="0" w:lineRule="auto" w:line="240"/>
              <w:jc w:val="left"/>
              <w:rPr>
                <w:rFonts w:ascii="arial" w:eastAsia="arial" w:hAnsi="arial" w:cs="arial"/>
                <w:b w:val="false"/>
                <w:bCs w:val="false"/>
                <w:i w:val="false"/>
                <w:color w:val="000000"/>
                <w:sz w:val="22"/>
                <w:szCs w:val="22"/>
              </w:rPr>
            </w:pPr>
            <w:r>
              <w:br/>
            </w:r>
          </w:p>
        </w:tc>
      </w:tr>
      <w:tr>
        <w:tc>
          <w:tcPr>
            <w:tcMar>
              <w:top w:w="120" w:type="dxa"/>
              <w:left w:w="120" w:type="dxa"/>
              <w:bottom w:w="120" w:type="dxa"/>
              <w:right w:w="120" w:type="dxa"/>
            </w:tcMar>
            <w:vAlign w:val="top"/>
          </w:tcPr>
          <w:p>
            <w:pPr>
              <w:shd w:val="clear" w:fill="FFFFFF"/>
              <w:spacing w:before="0" w:after="0" w:lineRule="auto" w:line="240"/>
              <w:ind w:left="0" w:right="0"/>
              <w:jc w:val="center"/>
              <w:rPr>
                <w:rFonts w:ascii="arial" w:eastAsia="arial" w:hAnsi="arial" w:cs="arial"/>
                <w:b/>
                <w:bCs/>
                <w:i w:val="false"/>
                <w:color w:val="0000FF"/>
                <w:sz w:val="22"/>
                <w:szCs w:val="22"/>
              </w:rPr>
            </w:pPr>
            <w:r>
              <w:rPr>
                <w:rFonts w:ascii="arial" w:eastAsia="arial" w:hAnsi="arial" w:cs="arial"/>
                <w:b/>
                <w:bCs/>
                <w:i w:val="false"/>
                <w:color w:val="0000FF"/>
                <w:sz w:val="22"/>
                <w:szCs w:val="22"/>
              </w:rPr>
              <w:t>Common Stock, $0.0001 par value per share</w:t>
            </w:r>
          </w:p>
          <w:p>
            <w:pPr/>
            <w:r>
              <w:pict>
                <v:rect id="_x0000_i1025" o:hralign="center" o:hrstd="t" o:hr="t" style="width:0pt;height:1.5pt;visibility:visible" fillcolor="#000000" strokeweight="1pt" strokecolor="#000000"/>
              </w:pict>
            </w:r>
          </w:p>
          <w:p>
            <w:pPr>
              <w:shd w:val="clear" w:fill="FFFFFF"/>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(Title of Class of Securities)</w:t>
            </w:r>
          </w:p>
          <w:p>
            <w:pPr>
              <w:spacing w:before="0" w:after="0" w:lineRule="auto" w:line="240"/>
              <w:jc w:val="left"/>
              <w:rPr>
                <w:rFonts w:ascii="arial" w:eastAsia="arial" w:hAnsi="arial" w:cs="arial"/>
                <w:b w:val="false"/>
                <w:bCs w:val="false"/>
                <w:i w:val="false"/>
                <w:color w:val="000000"/>
                <w:sz w:val="22"/>
                <w:szCs w:val="22"/>
              </w:rPr>
            </w:pPr>
            <w:r>
              <w:br/>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Style w:val="Table Grid"/>
        <w:tblW w:w="5000" w:type="pct"/>
        <w:jc w:val="left"/>
        <w:tblCellSpacing w:w="0" w:type="dxa"/>
        <w:tblInd w:w="0" w:type="dxa"/>
        <w:tblBorders>
          <w:top w:val="nil"/>
          <w:left w:val="nil"/>
          <w:bottom w:val="nil"/>
          <w:right w:val="nil"/>
          <w:insideH w:val="single" w:sz="8" w:color="000000"/>
          <w:insideV w:val="single" w:sz="8" w:color="000000"/>
        </w:tblBorders>
        <w:tblLook w:firstRow="1" w:lastRow="0" w:firstColumn="1" w:lastColumn="0" w:noHBand="0" w:noVBand="1" w:val="04A0"/>
      </w:tblP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09090D103</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(CUSIP Number)</w:t>
            </w:r>
          </w:p>
        </w:tc>
      </w:tr>
      <w:tr>
        <w:trPr>
          <w:cnfStyle w:val="000000000000"/>
        </w:trPr>
        <w:tc>
          <w:tcPr>
            <w:cnfStyle w:val="000000000000"/>
            <w:tcMar>
              <w:top w:w="120" w:type="dxa"/>
              <w:left w:w="120" w:type="dxa"/>
              <w:bottom w:w="120" w:type="dxa"/>
              <w:right w:w="120" w:type="dxa"/>
            </w:tcMar>
            <w:vAlign w:val="top"/>
          </w:tcPr>
          <w:p>
            <w:pPr>
              <w:cnfStyle w:val="000000000000"/>
              <w:shd w:val="clear" w:fill="FFFFFF"/>
              <w:spacing w:before="0" w:after="0" w:lineRule="auto" w:line="240"/>
              <w:ind w:left="0" w:right="0"/>
              <w:jc w:val="center"/>
              <w:rPr>
                <w:rFonts w:ascii="arial" w:eastAsia="arial" w:hAnsi="arial" w:cs="arial"/>
                <w:b/>
                <w:bCs/>
                <w:i w:val="false"/>
                <w:color w:val="0000FF"/>
                <w:sz w:val="24"/>
                <w:szCs w:val="24"/>
              </w:rPr>
            </w:pPr>
            <w:r>
              <w:rPr>
                <w:rFonts w:ascii="arial" w:eastAsia="arial" w:hAnsi="arial" w:cs="arial"/>
                <w:b/>
                <w:bCs/>
                <w:i w:val="false"/>
                <w:color w:val="0000FF"/>
                <w:sz w:val="24"/>
                <w:szCs w:val="24"/>
              </w:rPr>
              <w:t>06/30/2026</w:t>
            </w:r>
          </w:p>
          <w:p>
            <w:pPr>
              <w:cnfStyle w:val="000000000000"/>
            </w:pPr>
            <w:r>
              <w:pict>
                <v:rect id="_x0000_i1025" o:hralign="center" o:hrstd="t" o:hr="t" style="width:0pt;height:1.5pt;visibility:visible" fillcolor="#000000" strokeweight="1pt" strokecolor="#000000"/>
              </w:pict>
            </w:r>
          </w:p>
          <w:p>
            <w:pPr>
              <w:cnfStyle w:val="000000000000"/>
              <w:shd w:val="clear" w:fill="FFFFFF"/>
              <w:spacing w:before="0" w:after="0" w:lineRule="auto" w:line="240"/>
              <w:ind w:left="0" w:right="0"/>
              <w:jc w:val="center"/>
              <w:rPr>
                <w:rFonts w:ascii="arial" w:eastAsia="arial" w:hAnsi="arial" w:cs="arial"/>
                <w:b/>
                <w:bCs/>
                <w:i w:val="false"/>
                <w:color w:val="000000"/>
                <w:sz w:val="24"/>
                <w:szCs w:val="24"/>
              </w:rPr>
            </w:pPr>
            <w:r>
              <w:rPr>
                <w:rFonts w:ascii="arial" w:eastAsia="arial" w:hAnsi="arial" w:cs="arial"/>
                <w:b/>
                <w:bCs/>
                <w:i w:val="false"/>
                <w:color w:val="000000"/>
                <w:sz w:val="24"/>
                <w:szCs w:val="24"/>
              </w:rPr>
              <w:t>(Date of Event Which Requires Filing of this Statement)</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Pr>
      <w:tr>
        <w:tc>
          <w:tcPr>
            <w:tcW w:w="4500" w:type="dxa"/>
            <w:shd w:val="clear" w:fill="E0E0FF"/>
            <w:tcMar>
              <w:top w:w="120" w:type="dxa"/>
              <w:left w:w="120" w:type="dxa"/>
              <w:bottom w:w="120" w:type="dxa"/>
              <w:right w:w="120" w:type="dxa"/>
            </w:tcMar>
            <w:vAlign w:val="top"/>
          </w:tcPr>
          <w:p>
            <w:pPr>
              <w:shd w:val="clear" w:fill="E0E0FF"/>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val="false"/>
                <w:bCs w:val="false"/>
                <w:i w:val="false"/>
                <w:color w:val="000000"/>
                <w:sz w:val="24"/>
                <w:szCs w:val="24"/>
              </w:rPr>
              <w:t>Check the appropriate box to designate the rule pursuant to which this Schedule is filed:</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 name="Picture 1" descr="Checkbox not checked"/>
                  <a:graphic xmlns:a="http://schemas.openxmlformats.org/drawingml/2006/main">
                    <a:graphicData uri="http://schemas.openxmlformats.org/drawingml/2006/picture">
                      <pic:pic xmlns:pic="http://schemas.openxmlformats.org/drawingml/2006/picture">
                        <pic:nvPicPr>
                          <pic:cNvPr id="2" name="Picture 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13d-1(b)</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 name="Picture 3" descr="Checkbox checked"/>
                  <a:graphic xmlns:a="http://schemas.openxmlformats.org/drawingml/2006/main">
                    <a:graphicData uri="http://schemas.openxmlformats.org/drawingml/2006/picture">
                      <pic:pic xmlns:pic="http://schemas.openxmlformats.org/drawingml/2006/picture">
                        <pic:nvPicPr>
                          <pic:cNvPr id="4" name="Picture 4"/>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13d-1(c)</w:t>
            </w:r>
          </w:p>
        </w:tc>
      </w:tr>
      <w:tr>
        <w:tc>
          <w:tcPr>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5" name="Picture 5" descr="Checkbox not checked"/>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00"/>
                <w:sz w:val="24"/>
                <w:szCs w:val="24"/>
              </w:rPr>
              <w:t xml:space="preserve">   Rule 13d-1(d)</w:t>
            </w:r>
          </w:p>
        </w:tc>
      </w:tr>
    </w:tbl>
    <w:p>
      <w:pPr/>
      <w:r>
        <w:pict>
          <v:rect id="_x0000_i1025" o:hralign="center" o:hrstd="t" o:hr="t" style="width:0pt;height:1.5pt;visibility:visible" fillcolor="#000000" strokeweight="1pt" strokecolor="#000000"/>
        </w:pict>
      </w:r>
    </w:p>
    <w:p>
      <w:pPr/>
      <w:r>
        <w:pict>
          <v:rect id="_x0000_i1025" o:hralign="center" o:hrstd="t" o:hr="t" style="width:0pt;height:4.5pt;visibility:visible" fillcolor="#000000" strokeweight="1pt" strokecolor="#000000"/>
        </w:pict>
      </w:r>
    </w:p>
    <w:p>
      <w:pPr>
        <w:spacing w:before="0" w:after="0" w:lineRule="auto" w:line="240"/>
        <w:rPr>
          <w:rFonts w:ascii="arial" w:eastAsia="arial" w:hAnsi="arial" w:cs="arial"/>
          <w:b w:val="false"/>
          <w:bCs w:val="false"/>
          <w:i w:val="false"/>
          <w:color w:val="000000"/>
          <w:sz w:val="24"/>
          <w:szCs w:val="24"/>
        </w:rPr>
      </w:pPr>
      <w:r>
        <w:br/>
      </w:r>
    </w:p>
    <w:p>
      <w:pPr>
        <w:spacing w:before="0" w:after="0" w:lineRule="auto" w:line="240"/>
        <w:ind w:left="0" w:right="0"/>
        <w:rPr>
          <w:rFonts w:ascii="arial" w:eastAsia="arial" w:hAnsi="arial" w:cs="arial"/>
          <w:b w:val="false"/>
          <w:bCs w:val="false"/>
          <w:i w:val="false"/>
          <w:vanish/>
          <w:color w:val="000000"/>
          <w:sz w:val="24"/>
          <w:szCs w:val="24"/>
        </w:rPr>
      </w:pPr>
      <w:r>
        <w:rPr>
          <w:rFonts w:ascii="arial" w:eastAsia="arial" w:hAnsi="arial" w:cs="arial"/>
          <w:b w:val="false"/>
          <w:bCs w:val="false"/>
          <w:i w:val="false"/>
          <w:vanish/>
          <w:color w:val="000000"/>
          <w:sz w:val="24"/>
          <w:szCs w:val="24"/>
        </w:rPr>
        <w:t>schemaVersion:</w:t>
      </w: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Layout w:type="fixed"/>
      </w:tblPr>
      <w:tr>
        <w:tc>
          <w:tcPr>
            <w:tcW w:w="3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4"/>
                <w:szCs w:val="24"/>
              </w:rPr>
              <w:t>CUSIP Number(s):</w:t>
            </w:r>
          </w:p>
        </w:tc>
        <w:tc>
          <w:tcPr>
            <w:tcW w:w="375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09090D103</w:t>
            </w:r>
          </w:p>
        </w:tc>
      </w:tr>
    </w:tbl>
    <w:p>
      <w:pPr>
        <w:spacing w:before="0" w:after="0" w:lineRule="auto" w:line="240"/>
        <w:ind w:left="0" w:right="0"/>
        <w:rPr>
          <w:rFonts w:ascii="arial" w:eastAsia="arial" w:hAnsi="arial" w:cs="arial"/>
          <w:b w:val="false"/>
          <w:bCs w:val="false"/>
          <w:i w:val="false"/>
          <w:color w:val="000000"/>
          <w:sz w:val="24"/>
          <w:szCs w:val="24"/>
        </w:rPr>
      </w:pPr>
      <w:r>
        <w:br/>
      </w:r>
    </w:p>
    <w:tbl>
      <w:tblPr>
        <w:tblW w:w="5000" w:type="pct"/>
        <w:jc w:val="left"/>
        <w:tblCellSpacing w:w="0" w:type="dxa"/>
        <w:tblInd w:w="0" w:type="dxa"/>
        <w:tblLayout w:type="fixed"/>
      </w:tblP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Names of Reporting Persons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Cystic Fibrosis Foundation</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the appropriate box if a member of a Group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7" name="Picture 7" descr="Checkbox not checked"/>
                  <a:graphic xmlns:a="http://schemas.openxmlformats.org/drawingml/2006/main">
                    <a:graphicData uri="http://schemas.openxmlformats.org/drawingml/2006/picture">
                      <pic:pic xmlns:pic="http://schemas.openxmlformats.org/drawingml/2006/picture">
                        <pic:nvPicPr>
                          <pic:cNvPr id="8" name="Picture 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(a) </w:t>
            </w:r>
            <w:r>
              <w:br/>
            </w:r>
            <w:r>
              <w:drawing>
                <wp:inline>
                  <wp:extent cx="142875" cy="142875"/>
                  <wp:docPr id="9" name="Picture 9" descr="Checkbox not checked"/>
                  <a:graphic xmlns:a="http://schemas.openxmlformats.org/drawingml/2006/main">
                    <a:graphicData uri="http://schemas.openxmlformats.org/drawingml/2006/picture">
                      <pic:pic xmlns:pic="http://schemas.openxmlformats.org/drawingml/2006/picture">
                        <pic:nvPicPr>
                          <pic:cNvPr id="10" name="Picture 1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(b)</w:t>
            </w:r>
          </w:p>
        </w:tc>
      </w:tr>
      <w:tr>
        <w:tc>
          <w:tcPr>
            <w:tcW w:w="4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3</w:t>
            </w:r>
          </w:p>
        </w:tc>
        <w:tc>
          <w:tcPr>
            <w:tcW w:w="4600" w:type="pct"/>
            <w:tcBorders>
              <w:left w:val="single" w:sz="6" w:color="000000"/>
              <w:bottom w:val="single" w:sz="6" w:color="000000"/>
              <w:right w:val="single" w:sz="6" w:color="000000"/>
            </w:tcBorders>
            <w:shd w:val="clear" w:fill="D3D3D3"/>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Sec Use Only</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4</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or Place of Organization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DELAWARE</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Number of Shares Beneficially Owned by Each Reporting Person With:</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tbl>
            <w:tblPr>
              <w:tblW w:w="5000" w:type="pct"/>
              <w:jc w:val="left"/>
              <w:tblCellSpacing w:w="0" w:type="dxa"/>
              <w:tblInd w:w="0" w:type="dxa"/>
              <w:tblLayout w:type="fixed"/>
            </w:tblP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5</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6</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Voting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r>
              <w:tc>
                <w:tcPr>
                  <w:tcW w:w="400" w:type="pct"/>
                  <w:tcBorders>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7</w:t>
                  </w:r>
                </w:p>
              </w:tc>
              <w:tc>
                <w:tcPr>
                  <w:tcW w:w="4600" w:type="pct"/>
                  <w:tcBorders>
                    <w:left w:val="single" w:sz="6" w:color="000000"/>
                    <w:bottom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Sole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174,276.00</w:t>
                  </w:r>
                </w:p>
              </w:tc>
            </w:tr>
            <w:tr>
              <w:tc>
                <w:tcPr>
                  <w:tcW w:w="400" w:type="pct"/>
                  <w:tcBorders>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bCs/>
                      <w:i w:val="false"/>
                      <w:color w:val="000000"/>
                      <w:sz w:val="22"/>
                      <w:szCs w:val="22"/>
                    </w:rPr>
                  </w:pPr>
                  <w:r>
                    <w:rPr>
                      <w:rFonts w:ascii="arial" w:eastAsia="arial" w:hAnsi="arial" w:cs="arial"/>
                      <w:b/>
                      <w:bCs/>
                      <w:i w:val="false"/>
                      <w:color w:val="000000"/>
                      <w:sz w:val="22"/>
                      <w:szCs w:val="22"/>
                    </w:rPr>
                    <w:t>8</w:t>
                  </w:r>
                </w:p>
              </w:tc>
              <w:tc>
                <w:tcPr>
                  <w:tcW w:w="4600" w:type="pct"/>
                  <w:tcBorders>
                    <w:lef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22"/>
                      <w:szCs w:val="22"/>
                    </w:rPr>
                    <w:t xml:space="preserve">Shared Dispositive Power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0.00</w:t>
                  </w:r>
                </w:p>
              </w:tc>
            </w:tr>
          </w:tbl>
          <w:p>
            <w:pP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9</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Aggregate Amount Beneficially Owned by Each Reporting Person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174,276.00</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10</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Check box if the aggregate amount in row (9) excludes certain shares (See Instructions) </w:t>
            </w:r>
            <w:r>
              <w:br/>
            </w:r>
            <w:r>
              <w:br/>
            </w:r>
            <w:r>
              <w:drawing>
                <wp:inline>
                  <wp:extent cx="142875" cy="142875"/>
                  <wp:docPr id="11" name="Picture 11" descr="Checkbox not checked"/>
                  <a:graphic xmlns:a="http://schemas.openxmlformats.org/drawingml/2006/main">
                    <a:graphicData uri="http://schemas.openxmlformats.org/drawingml/2006/picture">
                      <pic:pic xmlns:pic="http://schemas.openxmlformats.org/drawingml/2006/picture">
                        <pic:nvPicPr>
                          <pic:cNvPr id="12" name="Picture 12"/>
                          <pic:cNvPicPr/>
                        </pic:nvPicPr>
                        <pic:blipFill>
                          <a:blip cstate="print" r:embed="PictureId1"/>
                          <a:stretch>
                            <a:fillRect/>
                          </a:stretch>
                        </pic:blipFill>
                        <pic:spPr>
                          <a:xfrm>
                            <a:off x="0" y="0"/>
                            <a:ext cx="142875" cy="142875"/>
                          </a:xfrm>
                          <a:prstGeom prst="rect">
                            <a:avLst/>
                          </a:prstGeom>
                        </pic:spPr>
                      </pic:pic>
                    </a:graphicData>
                  </a:graphic>
                </wp:inline>
              </w:drawing>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11</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represented by amount in row (9)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1.5 %</w:t>
            </w:r>
          </w:p>
        </w:tc>
      </w:tr>
      <w:tr>
        <w:tc>
          <w:tcPr>
            <w:tcW w:w="400" w:type="pct"/>
            <w:tcBorders>
              <w:left w:val="single" w:sz="6" w:color="000000"/>
              <w:bottom w:val="single" w:sz="6" w:color="000000"/>
              <w:right w:val="single" w:sz="6" w:color="000000"/>
            </w:tcBorders>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12</w:t>
            </w:r>
          </w:p>
        </w:tc>
        <w:tc>
          <w:tcPr>
            <w:tcW w:w="4600" w:type="pct"/>
            <w:tcBorders>
              <w:left w:val="single" w:sz="6" w:color="000000"/>
              <w:bottom w:val="single" w:sz="6" w:color="000000"/>
              <w:right w:val="single" w:sz="6" w:color="000000"/>
            </w:tcBorders>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Type of Reporting Person (See Instructions)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CO</w:t>
            </w:r>
          </w:p>
        </w:tc>
      </w:tr>
    </w:tbl>
    <w:p>
      <w:pPr>
        <w:spacing w:before="0" w:after="0"/>
        <w:ind w:left="0" w:right="0"/>
        <w:rPr>
          <w:vanish/>
        </w:rPr>
      </w:pPr>
    </w:p>
    <w:tbl>
      <w:tblPr>
        <w:tblW w:w="5000" w:type="pct"/>
        <w:jc w:val="left"/>
        <w:tblCellSpacing w:w="0" w:type="dxa"/>
        <w:tblInd w:w="0" w:type="dxa"/>
      </w:tblPr>
      <w:tr>
        <w:tc>
          <w:tcPr>
            <w:tcMar>
              <w:top w:w="120" w:type="dxa"/>
              <w:left w:w="120" w:type="dxa"/>
              <w:bottom w:w="120" w:type="dxa"/>
              <w:right w:w="120" w:type="dxa"/>
            </w:tcMar>
            <w:vAlign w:val="top"/>
          </w:tcPr>
          <w:p>
            <w:pPr>
              <w:spacing w:before="0" w:after="0" w:lineRule="auto" w:line="240"/>
              <w:jc w:val="left"/>
              <w:rPr>
                <w:rFonts w:ascii="arial" w:eastAsia="arial" w:hAnsi="arial" w:cs="arial"/>
                <w:b w:val="false"/>
                <w:bCs w:val="false"/>
                <w:i w:val="false"/>
                <w:color w:val="000000"/>
                <w:sz w:val="24"/>
                <w:szCs w:val="24"/>
              </w:rPr>
            </w:pPr>
            <w:r>
              <w:br/>
            </w:r>
          </w:p>
          <w:p>
            <w:pPr>
              <w:spacing w:before="0" w:after="0" w:lineRule="auto" w:line="240"/>
              <w:ind w:left="0" w:right="0"/>
              <w:jc w:val="center"/>
              <w:rPr>
                <w:rFonts w:ascii="arial" w:eastAsia="arial" w:hAnsi="arial" w:cs="arial"/>
                <w:b w:val="false"/>
                <w:bCs w:val="false"/>
                <w:i w:val="false"/>
                <w:color w:val="000000"/>
                <w:sz w:val="29"/>
                <w:szCs w:val="29"/>
              </w:rPr>
            </w:pPr>
            <w:r>
              <w:rPr>
                <w:rFonts w:ascii="arial" w:eastAsia="arial" w:hAnsi="arial" w:cs="arial"/>
                <w:b w:val="false"/>
                <w:bCs w:val="false"/>
                <w:i w:val="false"/>
                <w:color w:val="000000"/>
                <w:sz w:val="29"/>
                <w:szCs w:val="29"/>
              </w:rPr>
              <w:t>SCHEDULE 13G</w:t>
            </w:r>
          </w:p>
        </w:tc>
      </w:tr>
    </w:tbl>
    <w:p>
      <w:pPr>
        <w:spacing w:before="0" w:after="0"/>
        <w:ind w:left="0" w:right="0"/>
        <w:rPr>
          <w:vanish/>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issuer: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BiomX Inc.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of issuer's principal executive offices: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22 Einstein St, 5th Floor, Ness Ziona, ISRAEL, 7414003.</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2.</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Name of person filing: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Cystic Fibrosis Foundation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Address or principal business office or, if none, residence: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4550 Montgomery Ave., Suite 1100N, Bethesda MD 20814</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Citizenship: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United States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Title of class of securities: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Common Stock, $0.0001 par value per share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CUSIP No.: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09090D103</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3.</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If this statement is filed pursuant to §§ 240.13d-1(b) or 240.13d-2(b) or (c), check whether the person filing is a:</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3" name="Picture 13" descr="Checkbox not checked"/>
                  <a:graphic xmlns:a="http://schemas.openxmlformats.org/drawingml/2006/main">
                    <a:graphicData uri="http://schemas.openxmlformats.org/drawingml/2006/picture">
                      <pic:pic xmlns:pic="http://schemas.openxmlformats.org/drawingml/2006/picture">
                        <pic:nvPicPr>
                          <pic:cNvPr id="14" name="Picture 1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Broker or dealer registered under section 15 of the Act (15 U.S.C. 78o);</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5" name="Picture 15" descr="Checkbox not checked"/>
                  <a:graphic xmlns:a="http://schemas.openxmlformats.org/drawingml/2006/main">
                    <a:graphicData uri="http://schemas.openxmlformats.org/drawingml/2006/picture">
                      <pic:pic xmlns:pic="http://schemas.openxmlformats.org/drawingml/2006/picture">
                        <pic:nvPicPr>
                          <pic:cNvPr id="16" name="Picture 1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Bank as defined in section 3(a)(6)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7" name="Picture 17" descr="Checkbox not checked"/>
                  <a:graphic xmlns:a="http://schemas.openxmlformats.org/drawingml/2006/main">
                    <a:graphicData uri="http://schemas.openxmlformats.org/drawingml/2006/picture">
                      <pic:pic xmlns:pic="http://schemas.openxmlformats.org/drawingml/2006/picture">
                        <pic:nvPicPr>
                          <pic:cNvPr id="18" name="Picture 1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Insurance company as defined in section 3(a)(19) of the Act (15 U.S.C. 78c);</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(d)</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19" name="Picture 19" descr="Checkbox not checked"/>
                  <a:graphic xmlns:a="http://schemas.openxmlformats.org/drawingml/2006/main">
                    <a:graphicData uri="http://schemas.openxmlformats.org/drawingml/2006/picture">
                      <pic:pic xmlns:pic="http://schemas.openxmlformats.org/drawingml/2006/picture">
                        <pic:nvPicPr>
                          <pic:cNvPr id="20" name="Picture 2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Investment company registered under section 8 of the Investment Company Act of 1940 (15 U.S.C. 80a-8);</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1" name="Picture 21" descr="Checkbox not checked"/>
                  <a:graphic xmlns:a="http://schemas.openxmlformats.org/drawingml/2006/main">
                    <a:graphicData uri="http://schemas.openxmlformats.org/drawingml/2006/picture">
                      <pic:pic xmlns:pic="http://schemas.openxmlformats.org/drawingml/2006/picture">
                        <pic:nvPicPr>
                          <pic:cNvPr id="22" name="Picture 2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investment adviser in accordance with § 240.13d-1(b)(1)(ii)(E);</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(f)</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3" name="Picture 23" descr="Checkbox not checked"/>
                  <a:graphic xmlns:a="http://schemas.openxmlformats.org/drawingml/2006/main">
                    <a:graphicData uri="http://schemas.openxmlformats.org/drawingml/2006/picture">
                      <pic:pic xmlns:pic="http://schemas.openxmlformats.org/drawingml/2006/picture">
                        <pic:nvPicPr>
                          <pic:cNvPr id="24" name="Picture 2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An employee benefit plan or endowment fund in accordance with § 240.13d-1(b)(1)(ii)(F);</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(g)</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5" name="Picture 25" descr="Checkbox not checked"/>
                  <a:graphic xmlns:a="http://schemas.openxmlformats.org/drawingml/2006/main">
                    <a:graphicData uri="http://schemas.openxmlformats.org/drawingml/2006/picture">
                      <pic:pic xmlns:pic="http://schemas.openxmlformats.org/drawingml/2006/picture">
                        <pic:nvPicPr>
                          <pic:cNvPr id="26" name="Picture 26"/>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parent holding company or control person in accordance with § 240.13d-1(b)(1)(ii)(G);</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(h)</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7" name="Picture 27" descr="Checkbox not checked"/>
                  <a:graphic xmlns:a="http://schemas.openxmlformats.org/drawingml/2006/main">
                    <a:graphicData uri="http://schemas.openxmlformats.org/drawingml/2006/picture">
                      <pic:pic xmlns:pic="http://schemas.openxmlformats.org/drawingml/2006/picture">
                        <pic:nvPicPr>
                          <pic:cNvPr id="28" name="Picture 28"/>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savings associations as defined in Section 3(b) of the Federal Deposit Insurance Act (12 U.S.C. 1813);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29" name="Picture 29" descr="Checkbox not checked"/>
                  <a:graphic xmlns:a="http://schemas.openxmlformats.org/drawingml/2006/main">
                    <a:graphicData uri="http://schemas.openxmlformats.org/drawingml/2006/picture">
                      <pic:pic xmlns:pic="http://schemas.openxmlformats.org/drawingml/2006/picture">
                        <pic:nvPicPr>
                          <pic:cNvPr id="30" name="Picture 30"/>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church plan that is excluded from the definition of an investment company under section 3(c)(14) of the Investment Company Act of 1940 (15 U.S.C. 80a-3);</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(j)</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1" name="Picture 31" descr="Checkbox not checked"/>
                  <a:graphic xmlns:a="http://schemas.openxmlformats.org/drawingml/2006/main">
                    <a:graphicData uri="http://schemas.openxmlformats.org/drawingml/2006/picture">
                      <pic:pic xmlns:pic="http://schemas.openxmlformats.org/drawingml/2006/picture">
                        <pic:nvPicPr>
                          <pic:cNvPr id="32" name="Picture 32"/>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A non-U.S. institution in accordance with § 240.13d-1(b)(1)(ii)(J). If filing as a non-U.S. institution in accordance with § 240.13d-1(b)(1)(ii)(J), </w:t>
            </w:r>
            <w:r>
              <w:br/>
            </w:r>
            <w:r>
              <w:rPr>
                <w:rFonts w:ascii="arial" w:eastAsia="arial" w:hAnsi="arial" w:cs="arial"/>
                <w:b/>
                <w:bCs/>
                <w:i w:val="false"/>
                <w:color w:val="000000"/>
                <w:sz w:val="22"/>
                <w:szCs w:val="22"/>
              </w:rPr>
              <w:t xml:space="preserve">       please specify the type of institution: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(k)</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drawing>
                <wp:inline>
                  <wp:extent cx="142875" cy="142875"/>
                  <wp:docPr id="33" name="Picture 33" descr="Checkbox not checked"/>
                  <a:graphic xmlns:a="http://schemas.openxmlformats.org/drawingml/2006/main">
                    <a:graphicData uri="http://schemas.openxmlformats.org/drawingml/2006/picture">
                      <pic:pic xmlns:pic="http://schemas.openxmlformats.org/drawingml/2006/picture">
                        <pic:nvPicPr>
                          <pic:cNvPr id="34" name="Picture 34"/>
                          <pic:cNvPicPr/>
                        </pic:nvPicPr>
                        <pic:blipFill>
                          <a:blip cstate="print" r:embed="PictureId1"/>
                          <a:stretch>
                            <a:fillRect/>
                          </a:stretch>
                        </pic:blipFill>
                        <pic:spPr>
                          <a:xfrm>
                            <a:off x="0" y="0"/>
                            <a:ext cx="142875" cy="142875"/>
                          </a:xfrm>
                          <a:prstGeom prst="rect">
                            <a:avLst/>
                          </a:prstGeom>
                        </pic:spPr>
                      </pic:pic>
                    </a:graphicData>
                  </a:graphic>
                </wp:inline>
              </w:drawing>
            </w:r>
            <w:r>
              <w:rPr>
                <w:rFonts w:ascii="arial" w:eastAsia="arial" w:hAnsi="arial" w:cs="arial"/>
                <w:b/>
                <w:bCs/>
                <w:i w:val="false"/>
                <w:color w:val="000000"/>
                <w:sz w:val="22"/>
                <w:szCs w:val="22"/>
              </w:rPr>
              <w:t xml:space="preserve">   Group, in accordance with Rule 240.13d-1(b)(1)(ii)(K).</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5000" w:type="pct"/>
            <w:gridSpan w:val="2"/>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4.</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(a)</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Amount beneficially owned: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(b)</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Percent of class: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1.47  %</w:t>
            </w:r>
            <w:r>
              <w:br/>
            </w:r>
            <w:r>
              <w:tab/>
            </w:r>
            <w:r>
              <w:tab/>
            </w:r>
            <w:r>
              <w:tab/>
            </w:r>
            <w:r>
              <w:tab/>
            </w:r>
            <w:r>
              <w:tab/>
            </w:r>
            <w:r>
              <w:tab/>
            </w:r>
            <w:r>
              <w:tab/>
            </w:r>
            <w:r>
              <w:tab/>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Number of shares as to which the person has: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 Sole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 Shared power to vote or to direct the vote: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(iii) Sole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174,276</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(iv) Shared power to dispose or to direct the disposition of: </w:t>
            </w:r>
            <w:r>
              <w:br/>
            </w:r>
          </w:p>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0</w:t>
            </w:r>
          </w:p>
          <w:p>
            <w:pPr>
              <w:spacing w:before="0" w:after="0" w:lineRule="auto" w:line="240"/>
              <w:jc w:val="left"/>
              <w:rPr>
                <w:rFonts w:ascii="arial" w:eastAsia="arial" w:hAnsi="arial" w:cs="arial"/>
                <w:b/>
                <w:bCs/>
                <w:i w:val="false"/>
                <w:color w:val="000000"/>
                <w:sz w:val="22"/>
                <w:szCs w:val="22"/>
              </w:rPr>
            </w:pP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5.</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5 Percent or Less of a Class.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drawing>
                <wp:inline>
                  <wp:extent cx="142875" cy="142875"/>
                  <wp:docPr id="35" name="Picture 35" descr="Checkbox checked"/>
                  <a:graphic xmlns:a="http://schemas.openxmlformats.org/drawingml/2006/main">
                    <a:graphicData uri="http://schemas.openxmlformats.org/drawingml/2006/picture">
                      <pic:pic xmlns:pic="http://schemas.openxmlformats.org/drawingml/2006/picture">
                        <pic:nvPicPr>
                          <pic:cNvPr id="36" name="Picture 36"/>
                          <pic:cNvPicPr/>
                        </pic:nvPicPr>
                        <pic:blipFill>
                          <a:blip cstate="print" r:embed="PictureId2"/>
                          <a:stretch>
                            <a:fillRect/>
                          </a:stretch>
                        </pic:blipFill>
                        <pic:spPr>
                          <a:xfrm>
                            <a:off x="0" y="0"/>
                            <a:ext cx="142875" cy="142875"/>
                          </a:xfrm>
                          <a:prstGeom prst="rect">
                            <a:avLst/>
                          </a:prstGeom>
                        </pic:spPr>
                      </pic:pic>
                    </a:graphicData>
                  </a:graphic>
                </wp:inline>
              </w:drawing>
            </w:r>
            <w:r>
              <w:rPr>
                <w:rFonts w:ascii="arial" w:eastAsia="arial" w:hAnsi="arial" w:cs="arial"/>
                <w:b w:val="false"/>
                <w:bCs w:val="false"/>
                <w:i w:val="false"/>
                <w:color w:val="0000FF"/>
                <w:sz w:val="22"/>
                <w:szCs w:val="22"/>
              </w:rPr>
              <w:t xml:space="preserve">   Ownership of 5 percent or less of a class</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6.</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Ownership of more than 5 Percent on Behalf of Another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7.</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the Subsidiary Which Acquired the Security Being Reported on by the Parent Holding Company or Control Person.</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8.</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Identification and Classification of Members of the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9.</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Notice of Dissolution of Group.</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Not Applicable</w:t>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Item 10.</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Certifications:</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22"/>
                <w:szCs w:val="22"/>
              </w:rPr>
            </w:pPr>
            <w:r>
              <w:rPr>
                <w:rFonts w:ascii="arial" w:eastAsia="arial" w:hAnsi="arial" w:cs="arial"/>
                <w:b w:val="false"/>
                <w:bCs w:val="false"/>
                <w:i w:val="false"/>
                <w:color w:val="0000FF"/>
                <w:sz w:val="22"/>
                <w:szCs w:val="22"/>
              </w:rPr>
              <w:t>By signing below I certify that, to the best of my knowledge and belief, the securities referred to above were not acquired and are not held for the purpose of or with the effect of changing or influencing the control of the issuer of the securities and were not acquired and are not held in connection with or as a participant in any transaction having that purpose or effect, other than activities solely in connection with a nomination under § 240.14a-11.</w:t>
            </w:r>
            <w:r>
              <w:br/>
            </w:r>
          </w:p>
        </w:tc>
      </w:tr>
    </w:tbl>
    <w:p>
      <w:pPr>
        <w:spacing w:before="0" w:after="0" w:lineRule="auto" w:line="240"/>
        <w:ind w:left="0" w:right="0"/>
        <w:rPr>
          <w:rFonts w:ascii="arial" w:eastAsia="arial" w:hAnsi="arial" w:cs="arial"/>
          <w:b w:val="false"/>
          <w:bCs w:val="false"/>
          <w:i w:val="false"/>
          <w:color w:val="000000"/>
          <w:sz w:val="24"/>
          <w:szCs w:val="24"/>
        </w:rPr>
      </w:pPr>
    </w:p>
    <w:tbl>
      <w:tblPr>
        <w:tblW w:w="5000" w:type="pct"/>
        <w:jc w:val="left"/>
        <w:tblCellSpacing w:w="0" w:type="dxa"/>
        <w:tblInd w:w="0" w:type="dxa"/>
      </w:tblPr>
      <w:tr>
        <w:tc>
          <w:tcPr>
            <w:tcW w:w="400" w:type="pct"/>
            <w:tcMar>
              <w:top w:w="120" w:type="dxa"/>
              <w:left w:w="120" w:type="dxa"/>
              <w:bottom w:w="120" w:type="dxa"/>
              <w:right w:w="120" w:type="dxa"/>
            </w:tcMar>
            <w:vAlign w:val="center"/>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SIGNATURE</w:t>
            </w:r>
          </w:p>
        </w:tc>
        <w:tc>
          <w:tcPr>
            <w:tcW w:w="46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r>
      <w:tr>
        <w:tc>
          <w:tcPr>
            <w:tcW w:w="400" w:type="pct"/>
            <w:tcMar>
              <w:top w:w="120" w:type="dxa"/>
              <w:left w:w="120" w:type="dxa"/>
              <w:bottom w:w="120" w:type="dxa"/>
              <w:right w:w="120" w:type="dxa"/>
            </w:tcMar>
            <w:vAlign w:val="top"/>
          </w:tcPr>
          <w:p>
            <w:pPr>
              <w:spacing w:before="0" w:after="0" w:lineRule="auto" w:line="240"/>
              <w:ind w:left="0" w:right="0"/>
              <w:jc w:val="center"/>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46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00"/>
                <w:sz w:val="22"/>
                <w:szCs w:val="22"/>
              </w:rPr>
            </w:pPr>
            <w:r>
              <w:rPr>
                <w:rFonts w:ascii="arial" w:eastAsia="arial" w:hAnsi="arial" w:cs="arial"/>
                <w:b w:val="false"/>
                <w:bCs w:val="false"/>
                <w:i w:val="false"/>
                <w:color w:val="000000"/>
                <w:sz w:val="22"/>
                <w:szCs w:val="22"/>
              </w:rPr>
              <w:t xml:space="preserve">After reasonable inquiry and to the best of my knowledge and belief, I certify that the information set forth in this statement is true, complete and correct. </w:t>
            </w:r>
            <w:r>
              <w:br/>
            </w: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5000" w:type="pct"/>
                  <w:tcMar>
                    <w:top w:w="120" w:type="dxa"/>
                    <w:left w:w="120" w:type="dxa"/>
                    <w:bottom w:w="120" w:type="dxa"/>
                    <w:right w:w="120" w:type="dxa"/>
                  </w:tcMar>
                  <w:vAlign w:val="top"/>
                </w:tcPr>
                <w:p>
                  <w:pPr>
                    <w:shd w:val="clear" w:fill="FFFFFF"/>
                    <w:spacing w:before="0" w:after="0" w:lineRule="auto" w:line="240"/>
                    <w:ind w:left="0" w:right="0"/>
                    <w:jc w:val="both"/>
                    <w:rPr>
                      <w:rFonts w:ascii="arial" w:eastAsia="arial" w:hAnsi="arial" w:cs="arial"/>
                      <w:b w:val="false"/>
                      <w:bCs w:val="false"/>
                      <w:i w:val="false"/>
                      <w:color w:val="0000FF"/>
                      <w:sz w:val="30"/>
                      <w:szCs w:val="30"/>
                    </w:rPr>
                  </w:pPr>
                  <w:r>
                    <w:rPr>
                      <w:rFonts w:ascii="arial" w:eastAsia="arial" w:hAnsi="arial" w:cs="arial"/>
                      <w:b w:val="false"/>
                      <w:bCs w:val="false"/>
                      <w:i w:val="false"/>
                      <w:color w:val="0000FF"/>
                      <w:sz w:val="30"/>
                      <w:szCs w:val="30"/>
                    </w:rPr>
                    <w:t>Cystic Fibrosis Foundation</w:t>
                  </w:r>
                </w:p>
              </w:tc>
            </w:tr>
          </w:tbl>
          <w:p>
            <w:pPr/>
          </w:p>
        </w:tc>
      </w:tr>
    </w:tbl>
    <w:p>
      <w:pPr>
        <w:spacing w:before="0" w:after="0"/>
        <w:ind w:left="0" w:right="0"/>
        <w:rPr>
          <w:vanish/>
        </w:rPr>
      </w:pPr>
    </w:p>
    <w:tbl>
      <w:tblPr>
        <w:tblW w:w="5000" w:type="pct"/>
        <w:jc w:val="left"/>
        <w:tblCellSpacing w:w="0" w:type="dxa"/>
        <w:tblInd w:w="0" w:type="dxa"/>
      </w:tblPr>
      <w:tr>
        <w:tc>
          <w:tcPr>
            <w:tcW w:w="2500" w:type="pct"/>
            <w:tcMar>
              <w:top w:w="120" w:type="dxa"/>
              <w:left w:w="120" w:type="dxa"/>
              <w:bottom w:w="120" w:type="dxa"/>
              <w:right w:w="120" w:type="dxa"/>
            </w:tcMar>
            <w:vAlign w:val="top"/>
          </w:tcPr>
          <w:p>
            <w:pPr>
              <w:spacing w:before="0" w:after="0" w:lineRule="auto" w:line="240"/>
              <w:ind w:left="0" w:right="0"/>
              <w:jc w:val="left"/>
              <w:rPr>
                <w:rFonts w:ascii="arial" w:eastAsia="arial" w:hAnsi="arial" w:cs="arial"/>
                <w:b w:val="false"/>
                <w:bCs w:val="false"/>
                <w:i w:val="false"/>
                <w:color w:val="000000"/>
                <w:sz w:val="24"/>
                <w:szCs w:val="24"/>
              </w:rPr>
            </w:pPr>
            <w:r>
              <w:rPr>
                <w:rFonts w:ascii="arial" w:eastAsia="arial" w:hAnsi="arial" w:cs="arial"/>
                <w:b/>
                <w:bCs/>
                <w:i w:val="false"/>
                <w:color w:val="000000"/>
                <w:sz w:val="22"/>
                <w:szCs w:val="22"/>
              </w:rPr>
              <w:t xml:space="preserve"> </w:t>
            </w:r>
          </w:p>
        </w:tc>
        <w:tc>
          <w:tcPr>
            <w:tcW w:w="2500" w:type="pct"/>
            <w:tcMar>
              <w:top w:w="120" w:type="dxa"/>
              <w:left w:w="120" w:type="dxa"/>
              <w:bottom w:w="120" w:type="dxa"/>
              <w:right w:w="120" w:type="dxa"/>
            </w:tcMar>
            <w:vAlign w:val="top"/>
          </w:tcPr>
          <w:tbl>
            <w:tblPr>
              <w:tblW w:w="5000" w:type="pct"/>
              <w:jc w:val="left"/>
              <w:tblCellSpacing w:w="0" w:type="dxa"/>
              <w:tblInd w:w="0" w:type="dxa"/>
            </w:tblP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Signature: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 Michael Cavadel</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Name/Title: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Senior Vice President and Chief Legal Officer</w:t>
                  </w:r>
                </w:p>
              </w:tc>
            </w:tr>
            <w:tr>
              <w:tc>
                <w:tcPr>
                  <w:tcW w:w="4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00"/>
                      <w:sz w:val="19"/>
                      <w:szCs w:val="19"/>
                    </w:rPr>
                    <w:t>Date:</w:t>
                  </w:r>
                </w:p>
              </w:tc>
              <w:tc>
                <w:tcPr>
                  <w:tcW w:w="4600" w:type="pct"/>
                  <w:tcMar>
                    <w:top w:w="60" w:type="dxa"/>
                    <w:left w:w="120" w:type="dxa"/>
                    <w:bottom w:w="60" w:type="dxa"/>
                    <w:right w:w="120" w:type="dxa"/>
                  </w:tcMar>
                  <w:vAlign w:val="top"/>
                </w:tcPr>
                <w:p>
                  <w:pPr>
                    <w:spacing w:before="0" w:after="0" w:lineRule="auto" w:line="240"/>
                    <w:ind w:left="0" w:right="0"/>
                    <w:jc w:val="left"/>
                    <w:rPr>
                      <w:rFonts w:ascii="arial" w:eastAsia="arial" w:hAnsi="arial" w:cs="arial"/>
                      <w:b/>
                      <w:bCs/>
                      <w:i w:val="false"/>
                      <w:color w:val="000000"/>
                      <w:sz w:val="22"/>
                      <w:szCs w:val="22"/>
                    </w:rPr>
                  </w:pPr>
                  <w:r>
                    <w:rPr>
                      <w:rFonts w:ascii="arial" w:eastAsia="arial" w:hAnsi="arial" w:cs="arial"/>
                      <w:b/>
                      <w:bCs/>
                      <w:i w:val="false"/>
                      <w:color w:val="0000FF"/>
                      <w:sz w:val="19"/>
                      <w:szCs w:val="19"/>
                    </w:rPr>
                    <w:t>08/20/2026</w:t>
                  </w:r>
                </w:p>
              </w:tc>
            </w:tr>
          </w:tbl>
          <w:p>
            <w:pPr/>
          </w:p>
        </w:tc>
      </w:tr>
    </w:tbl>
    <w:sectPr>
      <w:pgSz w:w="11907" w:h="16839" w:code="9"/>
      <w:pgMar w:top="200" w:right="200" w:bottom="200" w:left="2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F8D"/>
    <w:rsid w:val="00806F8D"/>
    <w:rsid w:val="00E0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rPr>
    </w:rPrDefault>
    <w:pPrDefault>
      <w:pPr>
        <w:spacing w:after="200" w:lineRule="auto" w:line="276"/>
      </w:pPr>
    </w:pPrDefault>
  </w:docDefaults>
  <w:style w:type="table" w:styleId="Normal Table" w:default="true">
    <w:name w:val="Normal Table"/>
    <w:uiPriority w:val="99"/>
    <w:semiHidden/>
    <w:unhideWhenUsed/>
    <w:qFormat/>
    <w:pPr/>
    <w:rPr/>
    <w:tblPr>
      <w:tblStyleRowBandSize w:val="1"/>
      <w:tblStyleColBandSize w:val="1"/>
      <w:tblInd w:w="0" w:type="dxa"/>
      <w:tblCellMar>
        <w:top w:w="0" w:type="dxa"/>
        <w:left w:w="108" w:type="dxa"/>
        <w:bottom w:w="0" w:type="dxa"/>
        <w:right w:w="108" w:type="dxa"/>
      </w:tblCellMar>
    </w:tblPr>
    <w:trPr/>
    <w:tcPr/>
  </w:style>
  <w:style w:type="table" w:styleId="Table Grid">
    <w:name w:val="Table Grid"/>
    <w:basedOn w:val="Normal Table"/>
    <w:qFormat/>
    <w:pPr>
      <w:spacing w:after="0" w:lineRule="auto" w:line="240"/>
    </w:pPr>
    <w:rPr/>
    <w:tblPr>
      <w:tblStyleRowBandSize w:val="1"/>
      <w:tblStyleColBandSize w:val="1"/>
      <w:tblInd w:w="0" w:type="dxa"/>
      <w:tblBorders>
        <w:top w:val="single" w:sz="4" w:color="000000"/>
        <w:left w:val="single" w:sz="4" w:color="000000"/>
        <w:bottom w:val="single" w:sz="4" w:color="000000"/>
        <w:right w:val="single" w:sz="4" w:color="000000"/>
        <w:insideH w:val="single" w:sz="4" w:color="000000"/>
        <w:insideV w:val="single" w:sz="4" w:color="000000"/>
      </w:tblBorders>
      <w:tblCellMar>
        <w:top w:w="0" w:type="dxa"/>
        <w:left w:w="108" w:type="dxa"/>
        <w:bottom w:w="0" w:type="dxa"/>
        <w:right w:w="108" w:type="dxa"/>
      </w:tblCellMar>
    </w:tblPr>
    <w:trP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Relationships xmlns="http://schemas.openxmlformats.org/package/2006/relationships"><Relationship Id="PictureId1" Type="http://schemas.openxmlformats.org/officeDocument/2006/relationships/image" Target="media/image1.jpg" /><Relationship Id="PictureId2" Type="http://schemas.openxmlformats.org/officeDocument/2006/relationships/image" Target="media/image2.jpg"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