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Default Extension="jpg" ContentType="image/jpeg"/>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w:pPr/>
      <w:r>
        <w:pict>
          <v:rect id="_x0000_i1025" o:hralign="center" o:hrstd="t" o:hr="t" style="width:0pt;height:4.5pt;visibility:visible" fillcolor="#000000" strokeweight="1pt" strokecolor="#000000"/>
        </w:pict>
      </w:r>
    </w:p>
    <w:p>
      <w:pPr>
        <w:spacing w:before="0" w:after="0" w:lineRule="auto" w:line="240"/>
        <w:rPr>
          <w:rFonts w:ascii="arial" w:eastAsia="arial" w:hAnsi="arial" w:cs="arial"/>
          <w:b w:val="false"/>
          <w:bCs w:val="false"/>
          <w:i w:val="false"/>
          <w:color w:val="000000"/>
          <w:sz w:val="24"/>
          <w:szCs w:val="24"/>
        </w:rPr>
      </w:pPr>
    </w:p>
    <w:p>
      <w:pPr/>
      <w:r>
        <w:pict>
          <v:rect id="_x0000_i1025" o:hralign="center" o:hrstd="t" o:hr="t" style="width:0pt;height:1.5pt;visibility:visible" fillcolor="#000000" strokeweight="1pt" strokecolor="#000000"/>
        </w:pict>
      </w:r>
    </w:p>
    <w:tbl>
      <w:tblPr>
        <w:tblW w:w="5000" w:type="pct"/>
        <w:jc w:val="left"/>
        <w:tblCellSpacing w:w="30" w:type="dxa"/>
        <w:tblInd w:w="0" w:type="dxa"/>
      </w:tblPr>
      <w:tr>
        <w:tc>
          <w:tcPr>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2"/>
                <w:szCs w:val="22"/>
              </w:rPr>
            </w:pPr>
            <w:r>
              <w:rPr>
                <w:rFonts w:ascii="arial" w:eastAsia="arial" w:hAnsi="arial" w:cs="arial"/>
                <w:b/>
                <w:bCs/>
                <w:i w:val="false"/>
                <w:color w:val="000000"/>
                <w:sz w:val="43"/>
                <w:szCs w:val="43"/>
              </w:rPr>
              <w:t xml:space="preserve">SECURITIES AND EXCHANGE COMMISSION </w:t>
            </w:r>
            <w:r>
              <w:br/>
            </w:r>
            <w:r>
              <w:rPr>
                <w:rFonts w:ascii="arial" w:eastAsia="arial" w:hAnsi="arial" w:cs="arial"/>
                <w:b/>
                <w:bCs/>
                <w:i w:val="false"/>
                <w:color w:val="000000"/>
                <w:sz w:val="43"/>
                <w:szCs w:val="43"/>
              </w:rPr>
              <w:t>Washington, D.C. 20549</w:t>
            </w:r>
          </w:p>
        </w:tc>
      </w:tr>
      <w:tr>
        <w:tc>
          <w:tcPr>
            <w:tcMar>
              <w:top w:w="120" w:type="dxa"/>
              <w:left w:w="120" w:type="dxa"/>
              <w:bottom w:w="120" w:type="dxa"/>
              <w:right w:w="120" w:type="dxa"/>
            </w:tcMar>
            <w:vAlign w:val="top"/>
          </w:tcPr>
          <w:p>
            <w:pPr>
              <w:spacing w:before="0" w:after="0" w:lineRule="auto" w:line="240"/>
              <w:jc w:val="center"/>
              <w:rPr>
                <w:rFonts w:ascii="arial" w:eastAsia="arial" w:hAnsi="arial" w:cs="arial"/>
                <w:b/>
                <w:bCs/>
                <w:i w:val="false"/>
                <w:color w:val="000000"/>
                <w:sz w:val="19"/>
                <w:szCs w:val="19"/>
              </w:rPr>
            </w:pPr>
            <w:r>
              <w:br/>
            </w:r>
          </w:p>
          <w:p>
            <w:pPr>
              <w:spacing w:before="0" w:after="0" w:lineRule="auto" w:line="240"/>
              <w:ind w:left="0" w:right="0"/>
              <w:jc w:val="center"/>
              <w:rPr>
                <w:rFonts w:ascii="arial" w:eastAsia="arial" w:hAnsi="arial" w:cs="arial"/>
                <w:b/>
                <w:bCs/>
                <w:i w:val="false"/>
                <w:color w:val="000000"/>
                <w:sz w:val="29"/>
                <w:szCs w:val="29"/>
              </w:rPr>
            </w:pPr>
            <w:r>
              <w:rPr>
                <w:rFonts w:ascii="arial" w:eastAsia="arial" w:hAnsi="arial" w:cs="arial"/>
                <w:b/>
                <w:bCs/>
                <w:i w:val="false"/>
                <w:color w:val="000000"/>
                <w:sz w:val="29"/>
                <w:szCs w:val="29"/>
              </w:rPr>
              <w:t>SCHEDULE 13G</w:t>
            </w:r>
          </w:p>
          <w:p>
            <w:pPr>
              <w:spacing w:before="0" w:after="0" w:lineRule="auto" w:line="240"/>
              <w:jc w:val="center"/>
              <w:rPr>
                <w:rFonts w:ascii="arial" w:eastAsia="arial" w:hAnsi="arial" w:cs="arial"/>
                <w:b/>
                <w:bCs/>
                <w:i w:val="false"/>
                <w:color w:val="000000"/>
                <w:sz w:val="19"/>
                <w:szCs w:val="19"/>
              </w:rPr>
            </w:pPr>
            <w:r>
              <w:br/>
            </w:r>
          </w:p>
        </w:tc>
      </w:tr>
      <w:tr>
        <w:tc>
          <w:tcPr>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bCs/>
                <w:i w:val="false"/>
                <w:color w:val="000000"/>
                <w:sz w:val="23"/>
                <w:szCs w:val="23"/>
              </w:rPr>
            </w:pPr>
            <w:r>
              <w:rPr>
                <w:rFonts w:ascii="arial" w:eastAsia="arial" w:hAnsi="arial" w:cs="arial"/>
                <w:b/>
                <w:bCs/>
                <w:i w:val="false"/>
                <w:color w:val="000000"/>
                <w:sz w:val="23"/>
                <w:szCs w:val="23"/>
              </w:rPr>
              <w:t>UNDER THE SECURITIES EXCHANGE ACT OF 1934</w:t>
            </w:r>
          </w:p>
        </w:tc>
      </w:tr>
      <w:tr>
        <w:tc>
          <w:tcPr>
            <w:tcMar>
              <w:top w:w="120" w:type="dxa"/>
              <w:left w:w="120" w:type="dxa"/>
              <w:bottom w:w="120" w:type="dxa"/>
              <w:right w:w="120" w:type="dxa"/>
            </w:tcMar>
            <w:vAlign w:val="top"/>
          </w:tcPr>
          <w:p>
            <w:pPr>
              <w:shd w:val="clear" w:fill="FFFFFF"/>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(Amendment No. </w:t>
            </w:r>
            <w:r>
              <w:rPr>
                <w:rFonts w:ascii="arial" w:eastAsia="arial" w:hAnsi="arial" w:cs="arial"/>
                <w:b/>
                <w:bCs/>
                <w:i w:val="false"/>
                <w:color w:val="0000FF"/>
                <w:sz w:val="22"/>
                <w:szCs w:val="22"/>
              </w:rPr>
              <w:t>3</w:t>
            </w:r>
            <w:r>
              <w:rPr>
                <w:rFonts w:ascii="arial" w:eastAsia="arial" w:hAnsi="arial" w:cs="arial"/>
                <w:b/>
                <w:bCs/>
                <w:i w:val="false"/>
                <w:color w:val="000000"/>
                <w:sz w:val="22"/>
                <w:szCs w:val="22"/>
              </w:rPr>
              <w:t>)</w:t>
            </w:r>
          </w:p>
          <w:p>
            <w:pPr>
              <w:spacing w:before="0" w:after="0" w:lineRule="auto" w:line="240"/>
              <w:jc w:val="left"/>
              <w:rPr>
                <w:rFonts w:ascii="arial" w:eastAsia="arial" w:hAnsi="arial" w:cs="arial"/>
                <w:b w:val="false"/>
                <w:bCs w:val="false"/>
                <w:i w:val="false"/>
                <w:color w:val="000000"/>
                <w:sz w:val="22"/>
                <w:szCs w:val="22"/>
              </w:rPr>
            </w:pPr>
            <w:r>
              <w:br/>
            </w:r>
          </w:p>
        </w:tc>
      </w:tr>
      <w:tr>
        <w:tc>
          <w:tcPr>
            <w:tcMar>
              <w:top w:w="120" w:type="dxa"/>
              <w:left w:w="120" w:type="dxa"/>
              <w:bottom w:w="120" w:type="dxa"/>
              <w:right w:w="120" w:type="dxa"/>
            </w:tcMar>
            <w:vAlign w:val="top"/>
          </w:tcPr>
          <w:p>
            <w:pPr>
              <w:shd w:val="clear" w:fill="FFFFFF"/>
              <w:spacing w:before="0" w:after="0" w:lineRule="auto" w:line="240"/>
              <w:ind w:left="0" w:right="0"/>
              <w:jc w:val="center"/>
              <w:rPr>
                <w:rFonts w:ascii="arial" w:eastAsia="arial" w:hAnsi="arial" w:cs="arial"/>
                <w:b/>
                <w:bCs/>
                <w:i w:val="false"/>
                <w:color w:val="0000FF"/>
                <w:sz w:val="22"/>
                <w:szCs w:val="22"/>
              </w:rPr>
            </w:pPr>
            <w:r>
              <w:rPr>
                <w:rFonts w:ascii="arial" w:eastAsia="arial" w:hAnsi="arial" w:cs="arial"/>
                <w:b/>
                <w:bCs/>
                <w:i w:val="false"/>
                <w:color w:val="0000FF"/>
                <w:sz w:val="22"/>
                <w:szCs w:val="22"/>
              </w:rPr>
              <w:t>BIOMX INC.</w:t>
            </w:r>
          </w:p>
          <w:p>
            <w:pPr/>
            <w:r>
              <w:pict>
                <v:rect id="_x0000_i1025" o:hralign="center" o:hrstd="t" o:hr="t" style="width:0pt;height:1.5pt;visibility:visible" fillcolor="#000000" strokeweight="1pt" strokecolor="#000000"/>
              </w:pict>
            </w:r>
          </w:p>
          <w:p>
            <w:pPr>
              <w:shd w:val="clear" w:fill="FFFFFF"/>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(Name of Issuer)</w:t>
            </w:r>
          </w:p>
          <w:p>
            <w:pPr>
              <w:spacing w:before="0" w:after="0" w:lineRule="auto" w:line="240"/>
              <w:jc w:val="left"/>
              <w:rPr>
                <w:rFonts w:ascii="arial" w:eastAsia="arial" w:hAnsi="arial" w:cs="arial"/>
                <w:b w:val="false"/>
                <w:bCs w:val="false"/>
                <w:i w:val="false"/>
                <w:color w:val="000000"/>
                <w:sz w:val="22"/>
                <w:szCs w:val="22"/>
              </w:rPr>
            </w:pPr>
            <w:r>
              <w:br/>
            </w:r>
          </w:p>
        </w:tc>
      </w:tr>
      <w:tr>
        <w:tc>
          <w:tcPr>
            <w:tcMar>
              <w:top w:w="120" w:type="dxa"/>
              <w:left w:w="120" w:type="dxa"/>
              <w:bottom w:w="120" w:type="dxa"/>
              <w:right w:w="120" w:type="dxa"/>
            </w:tcMar>
            <w:vAlign w:val="top"/>
          </w:tcPr>
          <w:p>
            <w:pPr>
              <w:shd w:val="clear" w:fill="FFFFFF"/>
              <w:spacing w:before="0" w:after="0" w:lineRule="auto" w:line="240"/>
              <w:ind w:left="0" w:right="0"/>
              <w:jc w:val="center"/>
              <w:rPr>
                <w:rFonts w:ascii="arial" w:eastAsia="arial" w:hAnsi="arial" w:cs="arial"/>
                <w:b/>
                <w:bCs/>
                <w:i w:val="false"/>
                <w:color w:val="0000FF"/>
                <w:sz w:val="22"/>
                <w:szCs w:val="22"/>
              </w:rPr>
            </w:pPr>
            <w:r>
              <w:rPr>
                <w:rFonts w:ascii="arial" w:eastAsia="arial" w:hAnsi="arial" w:cs="arial"/>
                <w:b/>
                <w:bCs/>
                <w:i w:val="false"/>
                <w:color w:val="0000FF"/>
                <w:sz w:val="22"/>
                <w:szCs w:val="22"/>
              </w:rPr>
              <w:t>Common stock, $0.0001 par value</w:t>
            </w:r>
          </w:p>
          <w:p>
            <w:pPr/>
            <w:r>
              <w:pict>
                <v:rect id="_x0000_i1025" o:hralign="center" o:hrstd="t" o:hr="t" style="width:0pt;height:1.5pt;visibility:visible" fillcolor="#000000" strokeweight="1pt" strokecolor="#000000"/>
              </w:pict>
            </w:r>
          </w:p>
          <w:p>
            <w:pPr>
              <w:shd w:val="clear" w:fill="FFFFFF"/>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(Title of Class of Securities)</w:t>
            </w:r>
          </w:p>
          <w:p>
            <w:pPr>
              <w:spacing w:before="0" w:after="0" w:lineRule="auto" w:line="240"/>
              <w:jc w:val="left"/>
              <w:rPr>
                <w:rFonts w:ascii="arial" w:eastAsia="arial" w:hAnsi="arial" w:cs="arial"/>
                <w:b w:val="false"/>
                <w:bCs w:val="false"/>
                <w:i w:val="false"/>
                <w:color w:val="000000"/>
                <w:sz w:val="22"/>
                <w:szCs w:val="22"/>
              </w:rPr>
            </w:pPr>
            <w:r>
              <w:br/>
            </w:r>
          </w:p>
        </w:tc>
      </w:tr>
    </w:tbl>
    <w:p>
      <w:pPr>
        <w:spacing w:before="0" w:after="0" w:lineRule="auto" w:line="240"/>
        <w:ind w:left="0" w:right="0"/>
        <w:rPr>
          <w:rFonts w:ascii="arial" w:eastAsia="arial" w:hAnsi="arial" w:cs="arial"/>
          <w:b w:val="false"/>
          <w:bCs w:val="false"/>
          <w:i w:val="false"/>
          <w:color w:val="000000"/>
          <w:sz w:val="24"/>
          <w:szCs w:val="24"/>
        </w:rPr>
      </w:pPr>
      <w:r>
        <w:br/>
      </w:r>
    </w:p>
    <w:tbl>
      <w:tblPr>
        <w:tblStyle w:val="Table Grid"/>
        <w:tblW w:w="5000" w:type="pct"/>
        <w:jc w:val="left"/>
        <w:tblCellSpacing w:w="0" w:type="dxa"/>
        <w:tblInd w:w="0" w:type="dxa"/>
        <w:tblBorders>
          <w:top w:val="nil"/>
          <w:left w:val="nil"/>
          <w:bottom w:val="nil"/>
          <w:right w:val="nil"/>
          <w:insideH w:val="single" w:sz="8" w:color="000000"/>
          <w:insideV w:val="single" w:sz="8" w:color="000000"/>
        </w:tblBorders>
        <w:tblLook w:firstRow="1" w:lastRow="0" w:firstColumn="1" w:lastColumn="0" w:noHBand="0" w:noVBand="1" w:val="04A0"/>
      </w:tblPr>
      <w:tr>
        <w:trPr>
          <w:cnfStyle w:val="000000000000"/>
        </w:trPr>
        <w:tc>
          <w:tcPr>
            <w:cnfStyle w:val="000000000000"/>
            <w:tcMar>
              <w:top w:w="120" w:type="dxa"/>
              <w:left w:w="120" w:type="dxa"/>
              <w:bottom w:w="120" w:type="dxa"/>
              <w:right w:w="120" w:type="dxa"/>
            </w:tcMar>
            <w:vAlign w:val="top"/>
          </w:tcPr>
          <w:p>
            <w:pPr>
              <w:cnfStyle w:val="000000000000"/>
              <w:shd w:val="clear" w:fill="FFFFFF"/>
              <w:spacing w:before="0" w:after="0" w:lineRule="auto" w:line="240"/>
              <w:ind w:left="0" w:right="0"/>
              <w:jc w:val="center"/>
              <w:rPr>
                <w:rFonts w:ascii="arial" w:eastAsia="arial" w:hAnsi="arial" w:cs="arial"/>
                <w:b/>
                <w:bCs/>
                <w:i w:val="false"/>
                <w:color w:val="0000FF"/>
                <w:sz w:val="24"/>
                <w:szCs w:val="24"/>
              </w:rPr>
            </w:pPr>
            <w:r>
              <w:rPr>
                <w:rFonts w:ascii="arial" w:eastAsia="arial" w:hAnsi="arial" w:cs="arial"/>
                <w:b/>
                <w:bCs/>
                <w:i w:val="false"/>
                <w:color w:val="0000FF"/>
                <w:sz w:val="24"/>
                <w:szCs w:val="24"/>
              </w:rPr>
              <w:t>09090D509</w:t>
            </w:r>
          </w:p>
          <w:p>
            <w:pPr>
              <w:cnfStyle w:val="000000000000"/>
            </w:pPr>
            <w:r>
              <w:pict>
                <v:rect id="_x0000_i1025" o:hralign="center" o:hrstd="t" o:hr="t" style="width:0pt;height:1.5pt;visibility:visible" fillcolor="#000000" strokeweight="1pt" strokecolor="#000000"/>
              </w:pict>
            </w:r>
          </w:p>
          <w:p>
            <w:pPr>
              <w:cnfStyle w:val="000000000000"/>
              <w:shd w:val="clear" w:fill="FFFFFF"/>
              <w:spacing w:before="0" w:after="0" w:lineRule="auto" w:line="240"/>
              <w:ind w:left="0" w:right="0"/>
              <w:jc w:val="center"/>
              <w:rPr>
                <w:rFonts w:ascii="arial" w:eastAsia="arial" w:hAnsi="arial" w:cs="arial"/>
                <w:b/>
                <w:bCs/>
                <w:i w:val="false"/>
                <w:color w:val="000000"/>
                <w:sz w:val="24"/>
                <w:szCs w:val="24"/>
              </w:rPr>
            </w:pPr>
            <w:r>
              <w:rPr>
                <w:rFonts w:ascii="arial" w:eastAsia="arial" w:hAnsi="arial" w:cs="arial"/>
                <w:b/>
                <w:bCs/>
                <w:i w:val="false"/>
                <w:color w:val="000000"/>
                <w:sz w:val="24"/>
                <w:szCs w:val="24"/>
              </w:rPr>
              <w:t>(CUSIP Number)</w:t>
            </w:r>
          </w:p>
        </w:tc>
      </w:tr>
      <w:tr>
        <w:trPr>
          <w:cnfStyle w:val="000000000000"/>
        </w:trPr>
        <w:tc>
          <w:tcPr>
            <w:cnfStyle w:val="000000000000"/>
            <w:tcMar>
              <w:top w:w="120" w:type="dxa"/>
              <w:left w:w="120" w:type="dxa"/>
              <w:bottom w:w="120" w:type="dxa"/>
              <w:right w:w="120" w:type="dxa"/>
            </w:tcMar>
            <w:vAlign w:val="top"/>
          </w:tcPr>
          <w:p>
            <w:pPr>
              <w:cnfStyle w:val="000000000000"/>
              <w:shd w:val="clear" w:fill="FFFFFF"/>
              <w:spacing w:before="0" w:after="0" w:lineRule="auto" w:line="240"/>
              <w:ind w:left="0" w:right="0"/>
              <w:jc w:val="center"/>
              <w:rPr>
                <w:rFonts w:ascii="arial" w:eastAsia="arial" w:hAnsi="arial" w:cs="arial"/>
                <w:b/>
                <w:bCs/>
                <w:i w:val="false"/>
                <w:color w:val="0000FF"/>
                <w:sz w:val="24"/>
                <w:szCs w:val="24"/>
              </w:rPr>
            </w:pPr>
            <w:r>
              <w:rPr>
                <w:rFonts w:ascii="arial" w:eastAsia="arial" w:hAnsi="arial" w:cs="arial"/>
                <w:b/>
                <w:bCs/>
                <w:i w:val="false"/>
                <w:color w:val="0000FF"/>
                <w:sz w:val="24"/>
                <w:szCs w:val="24"/>
              </w:rPr>
              <w:t>06/30/2026</w:t>
            </w:r>
          </w:p>
          <w:p>
            <w:pPr>
              <w:cnfStyle w:val="000000000000"/>
            </w:pPr>
            <w:r>
              <w:pict>
                <v:rect id="_x0000_i1025" o:hralign="center" o:hrstd="t" o:hr="t" style="width:0pt;height:1.5pt;visibility:visible" fillcolor="#000000" strokeweight="1pt" strokecolor="#000000"/>
              </w:pict>
            </w:r>
          </w:p>
          <w:p>
            <w:pPr>
              <w:cnfStyle w:val="000000000000"/>
              <w:shd w:val="clear" w:fill="FFFFFF"/>
              <w:spacing w:before="0" w:after="0" w:lineRule="auto" w:line="240"/>
              <w:ind w:left="0" w:right="0"/>
              <w:jc w:val="center"/>
              <w:rPr>
                <w:rFonts w:ascii="arial" w:eastAsia="arial" w:hAnsi="arial" w:cs="arial"/>
                <w:b/>
                <w:bCs/>
                <w:i w:val="false"/>
                <w:color w:val="000000"/>
                <w:sz w:val="24"/>
                <w:szCs w:val="24"/>
              </w:rPr>
            </w:pPr>
            <w:r>
              <w:rPr>
                <w:rFonts w:ascii="arial" w:eastAsia="arial" w:hAnsi="arial" w:cs="arial"/>
                <w:b/>
                <w:bCs/>
                <w:i w:val="false"/>
                <w:color w:val="000000"/>
                <w:sz w:val="24"/>
                <w:szCs w:val="24"/>
              </w:rPr>
              <w:t>(Date of Event Which Requires Filing of this Statement)</w:t>
            </w:r>
          </w:p>
        </w:tc>
      </w:tr>
    </w:tbl>
    <w:p>
      <w:pPr>
        <w:spacing w:before="0" w:after="0" w:lineRule="auto" w:line="240"/>
        <w:ind w:left="0" w:right="0"/>
        <w:rPr>
          <w:rFonts w:ascii="arial" w:eastAsia="arial" w:hAnsi="arial" w:cs="arial"/>
          <w:b w:val="false"/>
          <w:bCs w:val="false"/>
          <w:i w:val="false"/>
          <w:color w:val="000000"/>
          <w:sz w:val="24"/>
          <w:szCs w:val="24"/>
        </w:rPr>
      </w:pPr>
      <w:r>
        <w:br/>
      </w:r>
    </w:p>
    <w:tbl>
      <w:tblPr>
        <w:tblW w:w="5000" w:type="pct"/>
        <w:jc w:val="left"/>
        <w:tblCellSpacing w:w="0" w:type="dxa"/>
        <w:tblInd w:w="0" w:type="dxa"/>
      </w:tblPr>
      <w:tr>
        <w:tc>
          <w:tcPr>
            <w:tcW w:w="4500" w:type="dxa"/>
            <w:shd w:val="clear" w:fill="E0E0FF"/>
            <w:tcMar>
              <w:top w:w="120" w:type="dxa"/>
              <w:left w:w="120" w:type="dxa"/>
              <w:bottom w:w="120" w:type="dxa"/>
              <w:right w:w="120" w:type="dxa"/>
            </w:tcMar>
            <w:vAlign w:val="top"/>
          </w:tcPr>
          <w:p>
            <w:pPr>
              <w:shd w:val="clear" w:fill="E0E0FF"/>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val="false"/>
                <w:bCs w:val="false"/>
                <w:i w:val="false"/>
                <w:color w:val="000000"/>
                <w:sz w:val="24"/>
                <w:szCs w:val="24"/>
              </w:rPr>
              <w:t>Check the appropriate box to designate the rule pursuant to which this Schedule is filed:</w:t>
            </w:r>
          </w:p>
        </w:tc>
      </w:tr>
      <w:tr>
        <w:tc>
          <w:tcPr>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1" name="Picture 1" descr="Checkbox checked"/>
                  <a:graphic xmlns:a="http://schemas.openxmlformats.org/drawingml/2006/main">
                    <a:graphicData uri="http://schemas.openxmlformats.org/drawingml/2006/picture">
                      <pic:pic xmlns:pic="http://schemas.openxmlformats.org/drawingml/2006/picture">
                        <pic:nvPicPr>
                          <pic:cNvPr id="2" name="Picture 2"/>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00"/>
                <w:sz w:val="24"/>
                <w:szCs w:val="24"/>
              </w:rPr>
              <w:t xml:space="preserve">   Rule 13d-1(b)</w:t>
            </w:r>
          </w:p>
        </w:tc>
      </w:tr>
      <w:tr>
        <w:tc>
          <w:tcPr>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3" name="Picture 3" descr="Checkbox not checked"/>
                  <a:graphic xmlns:a="http://schemas.openxmlformats.org/drawingml/2006/main">
                    <a:graphicData uri="http://schemas.openxmlformats.org/drawingml/2006/picture">
                      <pic:pic xmlns:pic="http://schemas.openxmlformats.org/drawingml/2006/picture">
                        <pic:nvPicPr>
                          <pic:cNvPr id="4" name="Picture 4"/>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00"/>
                <w:sz w:val="24"/>
                <w:szCs w:val="24"/>
              </w:rPr>
              <w:t xml:space="preserve">   Rule 13d-1(c)</w:t>
            </w:r>
          </w:p>
        </w:tc>
      </w:tr>
      <w:tr>
        <w:tc>
          <w:tcPr>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5" name="Picture 5" descr="Checkbox not checked"/>
                  <a:graphic xmlns:a="http://schemas.openxmlformats.org/drawingml/2006/main">
                    <a:graphicData uri="http://schemas.openxmlformats.org/drawingml/2006/picture">
                      <pic:pic xmlns:pic="http://schemas.openxmlformats.org/drawingml/2006/picture">
                        <pic:nvPicPr>
                          <pic:cNvPr id="6" name="Picture 6"/>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00"/>
                <w:sz w:val="24"/>
                <w:szCs w:val="24"/>
              </w:rPr>
              <w:t xml:space="preserve">   Rule 13d-1(d)</w:t>
            </w:r>
          </w:p>
        </w:tc>
      </w:tr>
    </w:tbl>
    <w:p>
      <w:pPr/>
      <w:r>
        <w:pict>
          <v:rect id="_x0000_i1025" o:hralign="center" o:hrstd="t" o:hr="t" style="width:0pt;height:1.5pt;visibility:visible" fillcolor="#000000" strokeweight="1pt" strokecolor="#000000"/>
        </w:pict>
      </w:r>
    </w:p>
    <w:p>
      <w:pPr/>
      <w:r>
        <w:pict>
          <v:rect id="_x0000_i1025" o:hralign="center" o:hrstd="t" o:hr="t" style="width:0pt;height:4.5pt;visibility:visible" fillcolor="#000000" strokeweight="1pt" strokecolor="#000000"/>
        </w:pict>
      </w:r>
    </w:p>
    <w:p>
      <w:pPr>
        <w:spacing w:before="0" w:after="0" w:lineRule="auto" w:line="240"/>
        <w:rPr>
          <w:rFonts w:ascii="arial" w:eastAsia="arial" w:hAnsi="arial" w:cs="arial"/>
          <w:b w:val="false"/>
          <w:bCs w:val="false"/>
          <w:i w:val="false"/>
          <w:color w:val="000000"/>
          <w:sz w:val="24"/>
          <w:szCs w:val="24"/>
        </w:rPr>
      </w:pPr>
      <w:r>
        <w:br/>
      </w:r>
    </w:p>
    <w:p>
      <w:pPr>
        <w:spacing w:before="0" w:after="0" w:lineRule="auto" w:line="240"/>
        <w:ind w:left="0" w:right="0"/>
        <w:rPr>
          <w:rFonts w:ascii="arial" w:eastAsia="arial" w:hAnsi="arial" w:cs="arial"/>
          <w:b w:val="false"/>
          <w:bCs w:val="false"/>
          <w:i w:val="false"/>
          <w:vanish/>
          <w:color w:val="000000"/>
          <w:sz w:val="24"/>
          <w:szCs w:val="24"/>
        </w:rPr>
      </w:pPr>
      <w:r>
        <w:rPr>
          <w:rFonts w:ascii="arial" w:eastAsia="arial" w:hAnsi="arial" w:cs="arial"/>
          <w:b w:val="false"/>
          <w:bCs w:val="false"/>
          <w:i w:val="false"/>
          <w:vanish/>
          <w:color w:val="000000"/>
          <w:sz w:val="24"/>
          <w:szCs w:val="24"/>
        </w:rPr>
        <w:t>schemaVersion:</w:t>
      </w:r>
    </w:p>
    <w:tbl>
      <w:tblPr>
        <w:tblW w:w="5000" w:type="pct"/>
        <w:jc w:val="left"/>
        <w:tblCellSpacing w:w="0" w:type="dxa"/>
        <w:tblInd w:w="0" w:type="dxa"/>
      </w:tblPr>
      <w:tr>
        <w:tc>
          <w:tcPr>
            <w:tcMar>
              <w:top w:w="120" w:type="dxa"/>
              <w:left w:w="120" w:type="dxa"/>
              <w:bottom w:w="120" w:type="dxa"/>
              <w:right w:w="120" w:type="dxa"/>
            </w:tcMar>
            <w:vAlign w:val="top"/>
          </w:tcPr>
          <w:p>
            <w:pPr>
              <w:spacing w:before="0" w:after="0" w:lineRule="auto" w:line="240"/>
              <w:jc w:val="left"/>
              <w:rPr>
                <w:rFonts w:ascii="arial" w:eastAsia="arial" w:hAnsi="arial" w:cs="arial"/>
                <w:b w:val="false"/>
                <w:bCs w:val="false"/>
                <w:i w:val="false"/>
                <w:color w:val="000000"/>
                <w:sz w:val="24"/>
                <w:szCs w:val="24"/>
              </w:rPr>
            </w:pPr>
            <w:r>
              <w:br/>
            </w:r>
          </w:p>
          <w:p>
            <w:pPr>
              <w:spacing w:before="0" w:after="0" w:lineRule="auto" w:line="240"/>
              <w:ind w:left="0" w:right="0"/>
              <w:jc w:val="center"/>
              <w:rPr>
                <w:rFonts w:ascii="arial" w:eastAsia="arial" w:hAnsi="arial" w:cs="arial"/>
                <w:b w:val="false"/>
                <w:bCs w:val="false"/>
                <w:i w:val="false"/>
                <w:color w:val="000000"/>
                <w:sz w:val="29"/>
                <w:szCs w:val="29"/>
              </w:rPr>
            </w:pPr>
            <w:r>
              <w:rPr>
                <w:rFonts w:ascii="arial" w:eastAsia="arial" w:hAnsi="arial" w:cs="arial"/>
                <w:b w:val="false"/>
                <w:bCs w:val="false"/>
                <w:i w:val="false"/>
                <w:color w:val="000000"/>
                <w:sz w:val="29"/>
                <w:szCs w:val="29"/>
              </w:rPr>
              <w:t>SCHEDULE 13G</w:t>
            </w:r>
          </w:p>
        </w:tc>
      </w:tr>
    </w:tbl>
    <w:p>
      <w:pPr>
        <w:spacing w:before="0" w:after="0"/>
        <w:ind w:left="0" w:right="0"/>
        <w:rPr>
          <w:vanish/>
        </w:rPr>
      </w:pPr>
    </w:p>
    <w:tbl>
      <w:tblPr>
        <w:tblW w:w="5000" w:type="pct"/>
        <w:jc w:val="left"/>
        <w:tblCellSpacing w:w="0" w:type="dxa"/>
        <w:tblInd w:w="0" w:type="dxa"/>
        <w:tblLayout w:type="fixed"/>
      </w:tblPr>
      <w:tr>
        <w:tc>
          <w:tcPr>
            <w:tcW w:w="3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4"/>
                <w:szCs w:val="24"/>
              </w:rPr>
              <w:t>CUSIP Number(s):</w:t>
            </w:r>
          </w:p>
        </w:tc>
        <w:tc>
          <w:tcPr>
            <w:tcW w:w="37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2"/>
                <w:szCs w:val="22"/>
              </w:rPr>
            </w:pPr>
            <w:r>
              <w:rPr>
                <w:rFonts w:ascii="arial" w:eastAsia="arial" w:hAnsi="arial" w:cs="arial"/>
                <w:b w:val="false"/>
                <w:bCs w:val="false"/>
                <w:i w:val="false"/>
                <w:color w:val="000000"/>
                <w:sz w:val="22"/>
                <w:szCs w:val="22"/>
              </w:rPr>
              <w:t>09090D509</w:t>
            </w:r>
          </w:p>
        </w:tc>
      </w:tr>
    </w:tbl>
    <w:p>
      <w:pPr>
        <w:spacing w:before="0" w:after="0" w:lineRule="auto" w:line="240"/>
        <w:ind w:left="0" w:right="0"/>
        <w:rPr>
          <w:rFonts w:ascii="arial" w:eastAsia="arial" w:hAnsi="arial" w:cs="arial"/>
          <w:b w:val="false"/>
          <w:bCs w:val="false"/>
          <w:i w:val="false"/>
          <w:color w:val="000000"/>
          <w:sz w:val="24"/>
          <w:szCs w:val="24"/>
        </w:rPr>
      </w:pPr>
      <w:r>
        <w:br/>
      </w:r>
    </w:p>
    <w:tbl>
      <w:tblPr>
        <w:tblW w:w="5000" w:type="pct"/>
        <w:jc w:val="left"/>
        <w:tblCellSpacing w:w="0" w:type="dxa"/>
        <w:tblInd w:w="0" w:type="dxa"/>
        <w:tblLayout w:type="fixed"/>
      </w:tblP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Names of Reporting Persons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Nantahala Capital Management, LLC</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the appropriate box if a member of a Group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drawing>
                <wp:inline>
                  <wp:extent cx="142875" cy="142875"/>
                  <wp:docPr id="7" name="Picture 7" descr="Checkbox not checked"/>
                  <a:graphic xmlns:a="http://schemas.openxmlformats.org/drawingml/2006/main">
                    <a:graphicData uri="http://schemas.openxmlformats.org/drawingml/2006/picture">
                      <pic:pic xmlns:pic="http://schemas.openxmlformats.org/drawingml/2006/picture">
                        <pic:nvPicPr>
                          <pic:cNvPr id="8" name="Picture 8"/>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(a) </w:t>
            </w:r>
            <w:r>
              <w:br/>
            </w:r>
            <w:r>
              <w:drawing>
                <wp:inline>
                  <wp:extent cx="142875" cy="142875"/>
                  <wp:docPr id="9" name="Picture 9" descr="Checkbox not checked"/>
                  <a:graphic xmlns:a="http://schemas.openxmlformats.org/drawingml/2006/main">
                    <a:graphicData uri="http://schemas.openxmlformats.org/drawingml/2006/picture">
                      <pic:pic xmlns:pic="http://schemas.openxmlformats.org/drawingml/2006/picture">
                        <pic:nvPicPr>
                          <pic:cNvPr id="10" name="Picture 10"/>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(b)</w:t>
            </w:r>
          </w:p>
        </w:tc>
      </w:tr>
      <w:tr>
        <w:tc>
          <w:tcPr>
            <w:tcW w:w="4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3</w:t>
            </w:r>
          </w:p>
        </w:tc>
        <w:tc>
          <w:tcPr>
            <w:tcW w:w="46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Sec Use Only</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4</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Citizenship or Place of Organization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MASSACHUSETTS</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Number of Shares Beneficially Owned by Each Reporting Person With:</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tbl>
            <w:tblPr>
              <w:tblW w:w="5000" w:type="pct"/>
              <w:jc w:val="left"/>
              <w:tblCellSpacing w:w="0" w:type="dxa"/>
              <w:tblInd w:w="0" w:type="dxa"/>
              <w:tblLayout w:type="fixed"/>
            </w:tblP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5</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6</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730,551.00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7</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8</w:t>
                  </w:r>
                </w:p>
              </w:tc>
              <w:tc>
                <w:tcPr>
                  <w:tcW w:w="4600" w:type="pct"/>
                  <w:tcBorders>
                    <w:lef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730,551.00</w:t>
                  </w:r>
                </w:p>
              </w:tc>
            </w:tr>
          </w:tbl>
          <w:p>
            <w:pP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9</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Aggregate Amount Beneficially Owned by Each Reporting Person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730,551.00</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10</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box if the aggregate amount in row (9) excludes certain shares (See Instructions) </w:t>
            </w:r>
            <w:r>
              <w:br/>
            </w:r>
            <w:r>
              <w:br/>
            </w:r>
            <w:r>
              <w:drawing>
                <wp:inline>
                  <wp:extent cx="142875" cy="142875"/>
                  <wp:docPr id="11" name="Picture 11" descr="Checkbox not checked"/>
                  <a:graphic xmlns:a="http://schemas.openxmlformats.org/drawingml/2006/main">
                    <a:graphicData uri="http://schemas.openxmlformats.org/drawingml/2006/picture">
                      <pic:pic xmlns:pic="http://schemas.openxmlformats.org/drawingml/2006/picture">
                        <pic:nvPicPr>
                          <pic:cNvPr id="12" name="Picture 12"/>
                          <pic:cNvPicPr/>
                        </pic:nvPicPr>
                        <pic:blipFill>
                          <a:blip cstate="print" r:embed="PictureId2"/>
                          <a:stretch>
                            <a:fillRect/>
                          </a:stretch>
                        </pic:blipFill>
                        <pic:spPr>
                          <a:xfrm>
                            <a:off x="0" y="0"/>
                            <a:ext cx="142875" cy="142875"/>
                          </a:xfrm>
                          <a:prstGeom prst="rect">
                            <a:avLst/>
                          </a:prstGeom>
                        </pic:spPr>
                      </pic:pic>
                    </a:graphicData>
                  </a:graphic>
                </wp:inline>
              </w:drawing>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Percent of class represented by amount in row (9)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7.13 %</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Type of Reporting Person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IA</w:t>
            </w:r>
          </w:p>
        </w:tc>
      </w:tr>
    </w:tbl>
    <w:p>
      <w:pPr>
        <w:spacing w:before="0" w:after="0"/>
        <w:ind w:left="0" w:right="0"/>
        <w:rPr>
          <w:vanish/>
        </w:rPr>
      </w:pPr>
    </w:p>
    <w:tbl>
      <w:tblPr>
        <w:tblW w:w="5000" w:type="pct"/>
        <w:jc w:val="left"/>
        <w:tblCellSpacing w:w="0" w:type="dxa"/>
        <w:tblInd w:w="0" w:type="dxa"/>
      </w:tblPr>
      <w:tr>
        <w:tc>
          <w:tcPr>
            <w:tcMar>
              <w:top w:w="120" w:type="dxa"/>
              <w:left w:w="120" w:type="dxa"/>
              <w:bottom w:w="120" w:type="dxa"/>
              <w:right w:w="120" w:type="dxa"/>
            </w:tcMar>
            <w:vAlign w:val="top"/>
          </w:tcPr>
          <w:p>
            <w:pPr>
              <w:spacing w:before="0" w:after="0" w:lineRule="auto" w:line="240"/>
              <w:jc w:val="left"/>
              <w:rPr>
                <w:rFonts w:ascii="arial" w:eastAsia="arial" w:hAnsi="arial" w:cs="arial"/>
                <w:b w:val="false"/>
                <w:bCs w:val="false"/>
                <w:i w:val="false"/>
                <w:color w:val="000000"/>
                <w:sz w:val="24"/>
                <w:szCs w:val="24"/>
              </w:rPr>
            </w:pPr>
            <w:r>
              <w:br/>
            </w:r>
          </w:p>
          <w:p>
            <w:pPr>
              <w:spacing w:before="0" w:after="0" w:lineRule="auto" w:line="240"/>
              <w:ind w:left="0" w:right="0"/>
              <w:jc w:val="center"/>
              <w:rPr>
                <w:rFonts w:ascii="arial" w:eastAsia="arial" w:hAnsi="arial" w:cs="arial"/>
                <w:b w:val="false"/>
                <w:bCs w:val="false"/>
                <w:i w:val="false"/>
                <w:color w:val="000000"/>
                <w:sz w:val="29"/>
                <w:szCs w:val="29"/>
              </w:rPr>
            </w:pPr>
            <w:r>
              <w:rPr>
                <w:rFonts w:ascii="arial" w:eastAsia="arial" w:hAnsi="arial" w:cs="arial"/>
                <w:b w:val="false"/>
                <w:bCs w:val="false"/>
                <w:i w:val="false"/>
                <w:color w:val="000000"/>
                <w:sz w:val="29"/>
                <w:szCs w:val="29"/>
              </w:rPr>
              <w:t>SCHEDULE 13G</w:t>
            </w:r>
          </w:p>
        </w:tc>
      </w:tr>
    </w:tbl>
    <w:p>
      <w:pPr>
        <w:spacing w:before="0" w:after="0"/>
        <w:ind w:left="0" w:right="0"/>
        <w:rPr>
          <w:vanish/>
        </w:rPr>
      </w:pPr>
    </w:p>
    <w:tbl>
      <w:tblPr>
        <w:tblW w:w="5000" w:type="pct"/>
        <w:jc w:val="left"/>
        <w:tblCellSpacing w:w="0" w:type="dxa"/>
        <w:tblInd w:w="0" w:type="dxa"/>
        <w:tblLayout w:type="fixed"/>
      </w:tblPr>
      <w:tr>
        <w:tc>
          <w:tcPr>
            <w:tcW w:w="3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4"/>
                <w:szCs w:val="24"/>
              </w:rPr>
              <w:t>CUSIP Number(s):</w:t>
            </w:r>
          </w:p>
        </w:tc>
        <w:tc>
          <w:tcPr>
            <w:tcW w:w="37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2"/>
                <w:szCs w:val="22"/>
              </w:rPr>
            </w:pPr>
            <w:r>
              <w:rPr>
                <w:rFonts w:ascii="arial" w:eastAsia="arial" w:hAnsi="arial" w:cs="arial"/>
                <w:b w:val="false"/>
                <w:bCs w:val="false"/>
                <w:i w:val="false"/>
                <w:color w:val="000000"/>
                <w:sz w:val="22"/>
                <w:szCs w:val="22"/>
              </w:rPr>
              <w:t>09090D509</w:t>
            </w:r>
          </w:p>
        </w:tc>
      </w:tr>
    </w:tbl>
    <w:p>
      <w:pPr>
        <w:spacing w:before="0" w:after="0" w:lineRule="auto" w:line="240"/>
        <w:ind w:left="0" w:right="0"/>
        <w:rPr>
          <w:rFonts w:ascii="arial" w:eastAsia="arial" w:hAnsi="arial" w:cs="arial"/>
          <w:b w:val="false"/>
          <w:bCs w:val="false"/>
          <w:i w:val="false"/>
          <w:color w:val="000000"/>
          <w:sz w:val="24"/>
          <w:szCs w:val="24"/>
        </w:rPr>
      </w:pPr>
      <w:r>
        <w:br/>
      </w:r>
    </w:p>
    <w:tbl>
      <w:tblPr>
        <w:tblW w:w="5000" w:type="pct"/>
        <w:jc w:val="left"/>
        <w:tblCellSpacing w:w="0" w:type="dxa"/>
        <w:tblInd w:w="0" w:type="dxa"/>
        <w:tblLayout w:type="fixed"/>
      </w:tblP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Names of Reporting Persons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Wilmot B. Harkey</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the appropriate box if a member of a Group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drawing>
                <wp:inline>
                  <wp:extent cx="142875" cy="142875"/>
                  <wp:docPr id="13" name="Picture 13" descr="Checkbox not checked"/>
                  <a:graphic xmlns:a="http://schemas.openxmlformats.org/drawingml/2006/main">
                    <a:graphicData uri="http://schemas.openxmlformats.org/drawingml/2006/picture">
                      <pic:pic xmlns:pic="http://schemas.openxmlformats.org/drawingml/2006/picture">
                        <pic:nvPicPr>
                          <pic:cNvPr id="14" name="Picture 14"/>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(a) </w:t>
            </w:r>
            <w:r>
              <w:br/>
            </w:r>
            <w:r>
              <w:drawing>
                <wp:inline>
                  <wp:extent cx="142875" cy="142875"/>
                  <wp:docPr id="15" name="Picture 15" descr="Checkbox not checked"/>
                  <a:graphic xmlns:a="http://schemas.openxmlformats.org/drawingml/2006/main">
                    <a:graphicData uri="http://schemas.openxmlformats.org/drawingml/2006/picture">
                      <pic:pic xmlns:pic="http://schemas.openxmlformats.org/drawingml/2006/picture">
                        <pic:nvPicPr>
                          <pic:cNvPr id="16" name="Picture 16"/>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(b)</w:t>
            </w:r>
          </w:p>
        </w:tc>
      </w:tr>
      <w:tr>
        <w:tc>
          <w:tcPr>
            <w:tcW w:w="4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3</w:t>
            </w:r>
          </w:p>
        </w:tc>
        <w:tc>
          <w:tcPr>
            <w:tcW w:w="46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Sec Use Only</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4</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Citizenship or Place of Organization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UNITED STATES</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Number of Shares Beneficially Owned by Each Reporting Person With:</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tbl>
            <w:tblPr>
              <w:tblW w:w="5000" w:type="pct"/>
              <w:jc w:val="left"/>
              <w:tblCellSpacing w:w="0" w:type="dxa"/>
              <w:tblInd w:w="0" w:type="dxa"/>
              <w:tblLayout w:type="fixed"/>
            </w:tblP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5</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6</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730,551.00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7</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8</w:t>
                  </w:r>
                </w:p>
              </w:tc>
              <w:tc>
                <w:tcPr>
                  <w:tcW w:w="4600" w:type="pct"/>
                  <w:tcBorders>
                    <w:lef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730,551.00</w:t>
                  </w:r>
                </w:p>
              </w:tc>
            </w:tr>
          </w:tbl>
          <w:p>
            <w:pP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9</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Aggregate Amount Beneficially Owned by Each Reporting Person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730,551.00</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10</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box if the aggregate amount in row (9) excludes certain shares (See Instructions) </w:t>
            </w:r>
            <w:r>
              <w:br/>
            </w:r>
            <w:r>
              <w:br/>
            </w:r>
            <w:r>
              <w:drawing>
                <wp:inline>
                  <wp:extent cx="142875" cy="142875"/>
                  <wp:docPr id="17" name="Picture 17" descr="Checkbox not checked"/>
                  <a:graphic xmlns:a="http://schemas.openxmlformats.org/drawingml/2006/main">
                    <a:graphicData uri="http://schemas.openxmlformats.org/drawingml/2006/picture">
                      <pic:pic xmlns:pic="http://schemas.openxmlformats.org/drawingml/2006/picture">
                        <pic:nvPicPr>
                          <pic:cNvPr id="18" name="Picture 18"/>
                          <pic:cNvPicPr/>
                        </pic:nvPicPr>
                        <pic:blipFill>
                          <a:blip cstate="print" r:embed="PictureId2"/>
                          <a:stretch>
                            <a:fillRect/>
                          </a:stretch>
                        </pic:blipFill>
                        <pic:spPr>
                          <a:xfrm>
                            <a:off x="0" y="0"/>
                            <a:ext cx="142875" cy="142875"/>
                          </a:xfrm>
                          <a:prstGeom prst="rect">
                            <a:avLst/>
                          </a:prstGeom>
                        </pic:spPr>
                      </pic:pic>
                    </a:graphicData>
                  </a:graphic>
                </wp:inline>
              </w:drawing>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Percent of class represented by amount in row (9)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7.13 %</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Type of Reporting Person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HC</w:t>
            </w:r>
          </w:p>
        </w:tc>
      </w:tr>
    </w:tbl>
    <w:p>
      <w:pPr>
        <w:spacing w:before="0" w:after="0"/>
        <w:ind w:left="0" w:right="0"/>
        <w:rPr>
          <w:vanish/>
        </w:rPr>
      </w:pPr>
    </w:p>
    <w:tbl>
      <w:tblPr>
        <w:tblW w:w="5000" w:type="pct"/>
        <w:jc w:val="left"/>
        <w:tblCellSpacing w:w="0" w:type="dxa"/>
        <w:tblInd w:w="0" w:type="dxa"/>
      </w:tblPr>
      <w:tr>
        <w:tc>
          <w:tcPr>
            <w:tcMar>
              <w:top w:w="120" w:type="dxa"/>
              <w:left w:w="120" w:type="dxa"/>
              <w:bottom w:w="120" w:type="dxa"/>
              <w:right w:w="120" w:type="dxa"/>
            </w:tcMar>
            <w:vAlign w:val="top"/>
          </w:tcPr>
          <w:p>
            <w:pPr>
              <w:spacing w:before="0" w:after="0" w:lineRule="auto" w:line="240"/>
              <w:jc w:val="left"/>
              <w:rPr>
                <w:rFonts w:ascii="arial" w:eastAsia="arial" w:hAnsi="arial" w:cs="arial"/>
                <w:b w:val="false"/>
                <w:bCs w:val="false"/>
                <w:i w:val="false"/>
                <w:color w:val="000000"/>
                <w:sz w:val="24"/>
                <w:szCs w:val="24"/>
              </w:rPr>
            </w:pPr>
            <w:r>
              <w:br/>
            </w:r>
          </w:p>
          <w:p>
            <w:pPr>
              <w:spacing w:before="0" w:after="0" w:lineRule="auto" w:line="240"/>
              <w:ind w:left="0" w:right="0"/>
              <w:jc w:val="center"/>
              <w:rPr>
                <w:rFonts w:ascii="arial" w:eastAsia="arial" w:hAnsi="arial" w:cs="arial"/>
                <w:b w:val="false"/>
                <w:bCs w:val="false"/>
                <w:i w:val="false"/>
                <w:color w:val="000000"/>
                <w:sz w:val="29"/>
                <w:szCs w:val="29"/>
              </w:rPr>
            </w:pPr>
            <w:r>
              <w:rPr>
                <w:rFonts w:ascii="arial" w:eastAsia="arial" w:hAnsi="arial" w:cs="arial"/>
                <w:b w:val="false"/>
                <w:bCs w:val="false"/>
                <w:i w:val="false"/>
                <w:color w:val="000000"/>
                <w:sz w:val="29"/>
                <w:szCs w:val="29"/>
              </w:rPr>
              <w:t>SCHEDULE 13G</w:t>
            </w:r>
          </w:p>
        </w:tc>
      </w:tr>
    </w:tbl>
    <w:p>
      <w:pPr>
        <w:spacing w:before="0" w:after="0"/>
        <w:ind w:left="0" w:right="0"/>
        <w:rPr>
          <w:vanish/>
        </w:rPr>
      </w:pPr>
    </w:p>
    <w:tbl>
      <w:tblPr>
        <w:tblW w:w="5000" w:type="pct"/>
        <w:jc w:val="left"/>
        <w:tblCellSpacing w:w="0" w:type="dxa"/>
        <w:tblInd w:w="0" w:type="dxa"/>
        <w:tblLayout w:type="fixed"/>
      </w:tblPr>
      <w:tr>
        <w:tc>
          <w:tcPr>
            <w:tcW w:w="3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4"/>
                <w:szCs w:val="24"/>
              </w:rPr>
              <w:t>CUSIP Number(s):</w:t>
            </w:r>
          </w:p>
        </w:tc>
        <w:tc>
          <w:tcPr>
            <w:tcW w:w="37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2"/>
                <w:szCs w:val="22"/>
              </w:rPr>
            </w:pPr>
            <w:r>
              <w:rPr>
                <w:rFonts w:ascii="arial" w:eastAsia="arial" w:hAnsi="arial" w:cs="arial"/>
                <w:b w:val="false"/>
                <w:bCs w:val="false"/>
                <w:i w:val="false"/>
                <w:color w:val="000000"/>
                <w:sz w:val="22"/>
                <w:szCs w:val="22"/>
              </w:rPr>
              <w:t>09090D509</w:t>
            </w:r>
          </w:p>
        </w:tc>
      </w:tr>
    </w:tbl>
    <w:p>
      <w:pPr>
        <w:spacing w:before="0" w:after="0" w:lineRule="auto" w:line="240"/>
        <w:ind w:left="0" w:right="0"/>
        <w:rPr>
          <w:rFonts w:ascii="arial" w:eastAsia="arial" w:hAnsi="arial" w:cs="arial"/>
          <w:b w:val="false"/>
          <w:bCs w:val="false"/>
          <w:i w:val="false"/>
          <w:color w:val="000000"/>
          <w:sz w:val="24"/>
          <w:szCs w:val="24"/>
        </w:rPr>
      </w:pPr>
      <w:r>
        <w:br/>
      </w:r>
    </w:p>
    <w:tbl>
      <w:tblPr>
        <w:tblW w:w="5000" w:type="pct"/>
        <w:jc w:val="left"/>
        <w:tblCellSpacing w:w="0" w:type="dxa"/>
        <w:tblInd w:w="0" w:type="dxa"/>
        <w:tblLayout w:type="fixed"/>
      </w:tblP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Names of Reporting Persons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Daniel Mack</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the appropriate box if a member of a Group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drawing>
                <wp:inline>
                  <wp:extent cx="142875" cy="142875"/>
                  <wp:docPr id="19" name="Picture 19" descr="Checkbox not checked"/>
                  <a:graphic xmlns:a="http://schemas.openxmlformats.org/drawingml/2006/main">
                    <a:graphicData uri="http://schemas.openxmlformats.org/drawingml/2006/picture">
                      <pic:pic xmlns:pic="http://schemas.openxmlformats.org/drawingml/2006/picture">
                        <pic:nvPicPr>
                          <pic:cNvPr id="20" name="Picture 20"/>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(a) </w:t>
            </w:r>
            <w:r>
              <w:br/>
            </w:r>
            <w:r>
              <w:drawing>
                <wp:inline>
                  <wp:extent cx="142875" cy="142875"/>
                  <wp:docPr id="21" name="Picture 21" descr="Checkbox not checked"/>
                  <a:graphic xmlns:a="http://schemas.openxmlformats.org/drawingml/2006/main">
                    <a:graphicData uri="http://schemas.openxmlformats.org/drawingml/2006/picture">
                      <pic:pic xmlns:pic="http://schemas.openxmlformats.org/drawingml/2006/picture">
                        <pic:nvPicPr>
                          <pic:cNvPr id="22" name="Picture 22"/>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(b)</w:t>
            </w:r>
          </w:p>
        </w:tc>
      </w:tr>
      <w:tr>
        <w:tc>
          <w:tcPr>
            <w:tcW w:w="4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3</w:t>
            </w:r>
          </w:p>
        </w:tc>
        <w:tc>
          <w:tcPr>
            <w:tcW w:w="46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Sec Use Only</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4</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Citizenship or Place of Organization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UNITED STATES</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Number of Shares Beneficially Owned by Each Reporting Person With:</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tbl>
            <w:tblPr>
              <w:tblW w:w="5000" w:type="pct"/>
              <w:jc w:val="left"/>
              <w:tblCellSpacing w:w="0" w:type="dxa"/>
              <w:tblInd w:w="0" w:type="dxa"/>
              <w:tblLayout w:type="fixed"/>
            </w:tblP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5</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6</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730,551.00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7</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8</w:t>
                  </w:r>
                </w:p>
              </w:tc>
              <w:tc>
                <w:tcPr>
                  <w:tcW w:w="4600" w:type="pct"/>
                  <w:tcBorders>
                    <w:lef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730,551.00</w:t>
                  </w:r>
                </w:p>
              </w:tc>
            </w:tr>
          </w:tbl>
          <w:p>
            <w:pP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9</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Aggregate Amount Beneficially Owned by Each Reporting Person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730,551.00</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10</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box if the aggregate amount in row (9) excludes certain shares (See Instructions) </w:t>
            </w:r>
            <w:r>
              <w:br/>
            </w:r>
            <w:r>
              <w:br/>
            </w:r>
            <w:r>
              <w:drawing>
                <wp:inline>
                  <wp:extent cx="142875" cy="142875"/>
                  <wp:docPr id="23" name="Picture 23" descr="Checkbox not checked"/>
                  <a:graphic xmlns:a="http://schemas.openxmlformats.org/drawingml/2006/main">
                    <a:graphicData uri="http://schemas.openxmlformats.org/drawingml/2006/picture">
                      <pic:pic xmlns:pic="http://schemas.openxmlformats.org/drawingml/2006/picture">
                        <pic:nvPicPr>
                          <pic:cNvPr id="24" name="Picture 24"/>
                          <pic:cNvPicPr/>
                        </pic:nvPicPr>
                        <pic:blipFill>
                          <a:blip cstate="print" r:embed="PictureId2"/>
                          <a:stretch>
                            <a:fillRect/>
                          </a:stretch>
                        </pic:blipFill>
                        <pic:spPr>
                          <a:xfrm>
                            <a:off x="0" y="0"/>
                            <a:ext cx="142875" cy="142875"/>
                          </a:xfrm>
                          <a:prstGeom prst="rect">
                            <a:avLst/>
                          </a:prstGeom>
                        </pic:spPr>
                      </pic:pic>
                    </a:graphicData>
                  </a:graphic>
                </wp:inline>
              </w:drawing>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Percent of class represented by amount in row (9)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7.13 %</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Type of Reporting Person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HC</w:t>
            </w:r>
          </w:p>
        </w:tc>
      </w:tr>
    </w:tbl>
    <w:p>
      <w:pPr>
        <w:spacing w:before="0" w:after="0"/>
        <w:ind w:left="0" w:right="0"/>
        <w:rPr>
          <w:vanish/>
        </w:rPr>
      </w:pPr>
    </w:p>
    <w:tbl>
      <w:tblPr>
        <w:tblW w:w="5000" w:type="pct"/>
        <w:jc w:val="left"/>
        <w:tblCellSpacing w:w="0" w:type="dxa"/>
        <w:tblInd w:w="0" w:type="dxa"/>
      </w:tblPr>
      <w:tr>
        <w:tc>
          <w:tcPr>
            <w:tcMar>
              <w:top w:w="120" w:type="dxa"/>
              <w:left w:w="120" w:type="dxa"/>
              <w:bottom w:w="120" w:type="dxa"/>
              <w:right w:w="120" w:type="dxa"/>
            </w:tcMar>
            <w:vAlign w:val="top"/>
          </w:tcPr>
          <w:p>
            <w:pPr>
              <w:spacing w:before="0" w:after="0" w:lineRule="auto" w:line="240"/>
              <w:jc w:val="left"/>
              <w:rPr>
                <w:rFonts w:ascii="arial" w:eastAsia="arial" w:hAnsi="arial" w:cs="arial"/>
                <w:b w:val="false"/>
                <w:bCs w:val="false"/>
                <w:i w:val="false"/>
                <w:color w:val="000000"/>
                <w:sz w:val="24"/>
                <w:szCs w:val="24"/>
              </w:rPr>
            </w:pPr>
            <w:r>
              <w:br/>
            </w:r>
          </w:p>
          <w:p>
            <w:pPr>
              <w:spacing w:before="0" w:after="0" w:lineRule="auto" w:line="240"/>
              <w:ind w:left="0" w:right="0"/>
              <w:jc w:val="center"/>
              <w:rPr>
                <w:rFonts w:ascii="arial" w:eastAsia="arial" w:hAnsi="arial" w:cs="arial"/>
                <w:b w:val="false"/>
                <w:bCs w:val="false"/>
                <w:i w:val="false"/>
                <w:color w:val="000000"/>
                <w:sz w:val="29"/>
                <w:szCs w:val="29"/>
              </w:rPr>
            </w:pPr>
            <w:r>
              <w:rPr>
                <w:rFonts w:ascii="arial" w:eastAsia="arial" w:hAnsi="arial" w:cs="arial"/>
                <w:b w:val="false"/>
                <w:bCs w:val="false"/>
                <w:i w:val="false"/>
                <w:color w:val="000000"/>
                <w:sz w:val="29"/>
                <w:szCs w:val="29"/>
              </w:rPr>
              <w:t>SCHEDULE 13G</w:t>
            </w:r>
          </w:p>
        </w:tc>
      </w:tr>
    </w:tbl>
    <w:p>
      <w:pPr>
        <w:spacing w:before="0" w:after="0"/>
        <w:ind w:left="0" w:right="0"/>
        <w:rPr>
          <w:vanish/>
        </w:rPr>
      </w:pPr>
    </w:p>
    <w:tbl>
      <w:tblPr>
        <w:tblW w:w="5000" w:type="pct"/>
        <w:jc w:val="left"/>
        <w:tblCellSpacing w:w="0" w:type="dxa"/>
        <w:tblInd w:w="0" w:type="dxa"/>
      </w:tblP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1.</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(a)</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Name of issuer: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BIOMX INC.</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(b)</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Address of issuer's principal executive offices: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850 NEW BURTON ROAD SUITE 201 DOVER, DELAWARE, 19904</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2.</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(a)</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Name of person filing: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(1) Nantahala Capital Management, LLC ("Nantahala")</w:t>
            </w:r>
            <w:r>
              <w:br/>
            </w:r>
            <w:r>
              <w:rPr>
                <w:rFonts w:ascii="arial" w:eastAsia="arial" w:hAnsi="arial" w:cs="arial"/>
                <w:b w:val="false"/>
                <w:bCs w:val="false"/>
                <w:i w:val="false"/>
                <w:color w:val="0000FF"/>
                <w:sz w:val="22"/>
                <w:szCs w:val="22"/>
              </w:rPr>
              <w:t>(2) Wilmot B. Harkey</w:t>
            </w:r>
            <w:r>
              <w:br/>
            </w:r>
            <w:r>
              <w:rPr>
                <w:rFonts w:ascii="arial" w:eastAsia="arial" w:hAnsi="arial" w:cs="arial"/>
                <w:b w:val="false"/>
                <w:bCs w:val="false"/>
                <w:i w:val="false"/>
                <w:color w:val="0000FF"/>
                <w:sz w:val="22"/>
                <w:szCs w:val="22"/>
              </w:rPr>
              <w:t>(3) Daniel Mack (together the "Reporting Persons")</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(b)</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Address or principal business office or, if none, residence: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130 Main St.  2nd Floor, New Canaan, Connecticut 06840</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(c)</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Citizenship: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(1) Nantahala is a Massachusetts limited liability company.</w:t>
            </w:r>
            <w:r>
              <w:br/>
            </w:r>
            <w:r>
              <w:rPr>
                <w:rFonts w:ascii="arial" w:eastAsia="arial" w:hAnsi="arial" w:cs="arial"/>
                <w:b w:val="false"/>
                <w:bCs w:val="false"/>
                <w:i w:val="false"/>
                <w:color w:val="0000FF"/>
                <w:sz w:val="22"/>
                <w:szCs w:val="22"/>
              </w:rPr>
              <w:t>(2) Each of Messrs. Harkey and Mack is a citizen of the United States of America.</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(d)</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Title of class of securities: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Common stock, $0.0001 par value</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(e)</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CUSIP No.: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09090D509</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3.</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If this statement is filed pursuant to §§ 240.13d-1(b) or 240.13d-2(b) or (c), check whether the person filing is a:</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(a)</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25" name="Picture 25" descr="Checkbox not checked"/>
                  <a:graphic xmlns:a="http://schemas.openxmlformats.org/drawingml/2006/main">
                    <a:graphicData uri="http://schemas.openxmlformats.org/drawingml/2006/picture">
                      <pic:pic xmlns:pic="http://schemas.openxmlformats.org/drawingml/2006/picture">
                        <pic:nvPicPr>
                          <pic:cNvPr id="26" name="Picture 26"/>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Broker or dealer registered under section 15 of the Act (15 U.S.C. 78o);</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(b)</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27" name="Picture 27" descr="Checkbox not checked"/>
                  <a:graphic xmlns:a="http://schemas.openxmlformats.org/drawingml/2006/main">
                    <a:graphicData uri="http://schemas.openxmlformats.org/drawingml/2006/picture">
                      <pic:pic xmlns:pic="http://schemas.openxmlformats.org/drawingml/2006/picture">
                        <pic:nvPicPr>
                          <pic:cNvPr id="28" name="Picture 28"/>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Bank as defined in section 3(a)(6) of the Act (15 U.S.C. 78c);</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(c)</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29" name="Picture 29" descr="Checkbox not checked"/>
                  <a:graphic xmlns:a="http://schemas.openxmlformats.org/drawingml/2006/main">
                    <a:graphicData uri="http://schemas.openxmlformats.org/drawingml/2006/picture">
                      <pic:pic xmlns:pic="http://schemas.openxmlformats.org/drawingml/2006/picture">
                        <pic:nvPicPr>
                          <pic:cNvPr id="30" name="Picture 30"/>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Insurance company as defined in section 3(a)(19) of the Act (15 U.S.C. 78c);</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(d)</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31" name="Picture 31" descr="Checkbox not checked"/>
                  <a:graphic xmlns:a="http://schemas.openxmlformats.org/drawingml/2006/main">
                    <a:graphicData uri="http://schemas.openxmlformats.org/drawingml/2006/picture">
                      <pic:pic xmlns:pic="http://schemas.openxmlformats.org/drawingml/2006/picture">
                        <pic:nvPicPr>
                          <pic:cNvPr id="32" name="Picture 32"/>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Investment company registered under section 8 of the Investment Company Act of 1940 (15 U.S.C. 80a-8);</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(e)</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33" name="Picture 33" descr="Checkbox checked"/>
                  <a:graphic xmlns:a="http://schemas.openxmlformats.org/drawingml/2006/main">
                    <a:graphicData uri="http://schemas.openxmlformats.org/drawingml/2006/picture">
                      <pic:pic xmlns:pic="http://schemas.openxmlformats.org/drawingml/2006/picture">
                        <pic:nvPicPr>
                          <pic:cNvPr id="34" name="Picture 34"/>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An investment adviser in accordance with § 240.13d-1(b)(1)(ii)(E);</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(f)</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35" name="Picture 35" descr="Checkbox not checked"/>
                  <a:graphic xmlns:a="http://schemas.openxmlformats.org/drawingml/2006/main">
                    <a:graphicData uri="http://schemas.openxmlformats.org/drawingml/2006/picture">
                      <pic:pic xmlns:pic="http://schemas.openxmlformats.org/drawingml/2006/picture">
                        <pic:nvPicPr>
                          <pic:cNvPr id="36" name="Picture 36"/>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An employee benefit plan or endowment fund in accordance with § 240.13d-1(b)(1)(ii)(F);</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(g)</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37" name="Picture 37" descr="Checkbox checked"/>
                  <a:graphic xmlns:a="http://schemas.openxmlformats.org/drawingml/2006/main">
                    <a:graphicData uri="http://schemas.openxmlformats.org/drawingml/2006/picture">
                      <pic:pic xmlns:pic="http://schemas.openxmlformats.org/drawingml/2006/picture">
                        <pic:nvPicPr>
                          <pic:cNvPr id="38" name="Picture 38"/>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 parent holding company or control person in accordance with § 240.13d-1(b)(1)(ii)(G);</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(h)</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39" name="Picture 39" descr="Checkbox not checked"/>
                  <a:graphic xmlns:a="http://schemas.openxmlformats.org/drawingml/2006/main">
                    <a:graphicData uri="http://schemas.openxmlformats.org/drawingml/2006/picture">
                      <pic:pic xmlns:pic="http://schemas.openxmlformats.org/drawingml/2006/picture">
                        <pic:nvPicPr>
                          <pic:cNvPr id="40" name="Picture 40"/>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 savings associations as defined in Section 3(b) of the Federal Deposit Insurance Act (12 U.S.C. 1813);</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41" name="Picture 41" descr="Checkbox not checked"/>
                  <a:graphic xmlns:a="http://schemas.openxmlformats.org/drawingml/2006/main">
                    <a:graphicData uri="http://schemas.openxmlformats.org/drawingml/2006/picture">
                      <pic:pic xmlns:pic="http://schemas.openxmlformats.org/drawingml/2006/picture">
                        <pic:nvPicPr>
                          <pic:cNvPr id="42" name="Picture 42"/>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 church plan that is excluded from the definition of an investment company under section 3(c)(14) of the Investment Company Act of 1940 (15 U.S.C. 80a-3);</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(j)</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43" name="Picture 43" descr="Checkbox not checked"/>
                  <a:graphic xmlns:a="http://schemas.openxmlformats.org/drawingml/2006/main">
                    <a:graphicData uri="http://schemas.openxmlformats.org/drawingml/2006/picture">
                      <pic:pic xmlns:pic="http://schemas.openxmlformats.org/drawingml/2006/picture">
                        <pic:nvPicPr>
                          <pic:cNvPr id="44" name="Picture 44"/>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 non-U.S. institution in accordance with § 240.13d-1(b)(1)(ii)(J). If filing as a non-U.S. institution in accordance with § 240.13d-1(b)(1)(ii)(J), </w:t>
            </w:r>
            <w:r>
              <w:br/>
            </w:r>
            <w:r>
              <w:rPr>
                <w:rFonts w:ascii="arial" w:eastAsia="arial" w:hAnsi="arial" w:cs="arial"/>
                <w:b/>
                <w:bCs/>
                <w:i w:val="false"/>
                <w:color w:val="000000"/>
                <w:sz w:val="22"/>
                <w:szCs w:val="22"/>
              </w:rPr>
              <w:t xml:space="preserve">       please specify the type of institution:</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(k)</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45" name="Picture 45" descr="Checkbox not checked"/>
                  <a:graphic xmlns:a="http://schemas.openxmlformats.org/drawingml/2006/main">
                    <a:graphicData uri="http://schemas.openxmlformats.org/drawingml/2006/picture">
                      <pic:pic xmlns:pic="http://schemas.openxmlformats.org/drawingml/2006/picture">
                        <pic:nvPicPr>
                          <pic:cNvPr id="46" name="Picture 46"/>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Group, in accordance with Rule 240.13d-1(b)(1)(ii)(K).</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5000" w:type="pct"/>
            <w:gridSpan w:val="2"/>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4.</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Ownership</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(a)</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Amount beneficially owned: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As of June 30, 2026, Nantahala may be deemed to be the beneficial owner of 730,551 Shares held by funds and separately managed accounts under its control, and as the managing members of Nantahala, each of Messrs. Harkey and Mack may be deemed to be a beneficial owner of those Shares. The 730,551 Shares Include 95,556 Shares which may be acquired by the Reporting Persons within sixty days through the exercise of convertible securities.</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(b)</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Percent of class: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As of June 30, 2026, each of the Reporting Persons may be deemed to be the beneficial owner of the following percentage of the total number of Shares outstanding:</w:t>
            </w:r>
            <w:r>
              <w:br/>
            </w:r>
            <w:r>
              <w:rPr>
                <w:rFonts w:ascii="arial" w:eastAsia="arial" w:hAnsi="arial" w:cs="arial"/>
                <w:b w:val="false"/>
                <w:bCs w:val="false"/>
                <w:i w:val="false"/>
                <w:color w:val="0000FF"/>
                <w:sz w:val="22"/>
                <w:szCs w:val="22"/>
              </w:rPr>
              <w:t>(1) Nantahala Capital Management, LLC ("Nantahala") : 7.13%</w:t>
            </w:r>
            <w:r>
              <w:br/>
            </w:r>
            <w:r>
              <w:rPr>
                <w:rFonts w:ascii="arial" w:eastAsia="arial" w:hAnsi="arial" w:cs="arial"/>
                <w:b w:val="false"/>
                <w:bCs w:val="false"/>
                <w:i w:val="false"/>
                <w:color w:val="0000FF"/>
                <w:sz w:val="22"/>
                <w:szCs w:val="22"/>
              </w:rPr>
              <w:t>(2) Wilmot B. Harkey: 7.13%</w:t>
            </w:r>
            <w:r>
              <w:br/>
            </w:r>
            <w:r>
              <w:rPr>
                <w:rFonts w:ascii="arial" w:eastAsia="arial" w:hAnsi="arial" w:cs="arial"/>
                <w:b w:val="false"/>
                <w:bCs w:val="false"/>
                <w:i w:val="false"/>
                <w:color w:val="0000FF"/>
                <w:sz w:val="22"/>
                <w:szCs w:val="22"/>
              </w:rPr>
              <w:t>(3) Daniel Mack: 7.13%</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(c)</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Number of shares as to which the person has: </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(i) Sole power to vote or to direct the vote: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(1) Nantahala Capital Management, LLC ("Nantahala") :  0 Shares.</w:t>
            </w:r>
            <w:r>
              <w:br/>
            </w:r>
            <w:r>
              <w:rPr>
                <w:rFonts w:ascii="arial" w:eastAsia="arial" w:hAnsi="arial" w:cs="arial"/>
                <w:b w:val="false"/>
                <w:bCs w:val="false"/>
                <w:i w:val="false"/>
                <w:color w:val="0000FF"/>
                <w:sz w:val="22"/>
                <w:szCs w:val="22"/>
              </w:rPr>
              <w:t>(2) Wilmot B. Harkey:  0 Shares.</w:t>
            </w:r>
            <w:r>
              <w:br/>
            </w:r>
            <w:r>
              <w:rPr>
                <w:rFonts w:ascii="arial" w:eastAsia="arial" w:hAnsi="arial" w:cs="arial"/>
                <w:b w:val="false"/>
                <w:bCs w:val="false"/>
                <w:i w:val="false"/>
                <w:color w:val="0000FF"/>
                <w:sz w:val="22"/>
                <w:szCs w:val="22"/>
              </w:rPr>
              <w:t>(3) Daniel Mack: 0 Shares.</w:t>
            </w:r>
          </w:p>
          <w:p>
            <w:pPr>
              <w:spacing w:before="0" w:after="0" w:lineRule="auto" w:line="240"/>
              <w:jc w:val="left"/>
              <w:rPr>
                <w:rFonts w:ascii="arial" w:eastAsia="arial" w:hAnsi="arial" w:cs="arial"/>
                <w:b/>
                <w:bCs/>
                <w:i w:val="false"/>
                <w:color w:val="000000"/>
                <w:sz w:val="22"/>
                <w:szCs w:val="22"/>
              </w:rPr>
            </w:pP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(ii) Shared power to vote or to direct the vote: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(1) Nantahala Capital Management, LLC ("Nantahala") :  730,551 Shares.</w:t>
            </w:r>
            <w:r>
              <w:br/>
            </w:r>
            <w:r>
              <w:rPr>
                <w:rFonts w:ascii="arial" w:eastAsia="arial" w:hAnsi="arial" w:cs="arial"/>
                <w:b w:val="false"/>
                <w:bCs w:val="false"/>
                <w:i w:val="false"/>
                <w:color w:val="0000FF"/>
                <w:sz w:val="22"/>
                <w:szCs w:val="22"/>
              </w:rPr>
              <w:t>(2) Wilmot B. Harkey:  730,551 Shares.</w:t>
            </w:r>
            <w:r>
              <w:br/>
            </w:r>
            <w:r>
              <w:rPr>
                <w:rFonts w:ascii="arial" w:eastAsia="arial" w:hAnsi="arial" w:cs="arial"/>
                <w:b w:val="false"/>
                <w:bCs w:val="false"/>
                <w:i w:val="false"/>
                <w:color w:val="0000FF"/>
                <w:sz w:val="22"/>
                <w:szCs w:val="22"/>
              </w:rPr>
              <w:t>(3) Daniel Mack: 730,551 Shares.</w:t>
            </w:r>
          </w:p>
          <w:p>
            <w:pPr>
              <w:spacing w:before="0" w:after="0" w:lineRule="auto" w:line="240"/>
              <w:jc w:val="left"/>
              <w:rPr>
                <w:rFonts w:ascii="arial" w:eastAsia="arial" w:hAnsi="arial" w:cs="arial"/>
                <w:b/>
                <w:bCs/>
                <w:i w:val="false"/>
                <w:color w:val="000000"/>
                <w:sz w:val="22"/>
                <w:szCs w:val="22"/>
              </w:rPr>
            </w:pP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(iii) Sole power to dispose or to direct the disposition of: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(1) Nantahala Capital Management, LLC ("Nantahala") :  0 Shares.</w:t>
            </w:r>
            <w:r>
              <w:br/>
            </w:r>
            <w:r>
              <w:rPr>
                <w:rFonts w:ascii="arial" w:eastAsia="arial" w:hAnsi="arial" w:cs="arial"/>
                <w:b w:val="false"/>
                <w:bCs w:val="false"/>
                <w:i w:val="false"/>
                <w:color w:val="0000FF"/>
                <w:sz w:val="22"/>
                <w:szCs w:val="22"/>
              </w:rPr>
              <w:t>(2) Wilmot B. Harkey:  0 Shares.</w:t>
            </w:r>
            <w:r>
              <w:br/>
            </w:r>
            <w:r>
              <w:rPr>
                <w:rFonts w:ascii="arial" w:eastAsia="arial" w:hAnsi="arial" w:cs="arial"/>
                <w:b w:val="false"/>
                <w:bCs w:val="false"/>
                <w:i w:val="false"/>
                <w:color w:val="0000FF"/>
                <w:sz w:val="22"/>
                <w:szCs w:val="22"/>
              </w:rPr>
              <w:t>(3) Daniel Mack: 0 Shares.</w:t>
            </w:r>
          </w:p>
          <w:p>
            <w:pPr>
              <w:spacing w:before="0" w:after="0" w:lineRule="auto" w:line="240"/>
              <w:jc w:val="left"/>
              <w:rPr>
                <w:rFonts w:ascii="arial" w:eastAsia="arial" w:hAnsi="arial" w:cs="arial"/>
                <w:b/>
                <w:bCs/>
                <w:i w:val="false"/>
                <w:color w:val="000000"/>
                <w:sz w:val="22"/>
                <w:szCs w:val="22"/>
              </w:rPr>
            </w:pP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(iv) Shared power to dispose or to direct the disposition of: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(1) Nantahala Capital Management, LLC ("Nantahala") :  730,551 Shares.</w:t>
            </w:r>
            <w:r>
              <w:br/>
            </w:r>
            <w:r>
              <w:rPr>
                <w:rFonts w:ascii="arial" w:eastAsia="arial" w:hAnsi="arial" w:cs="arial"/>
                <w:b w:val="false"/>
                <w:bCs w:val="false"/>
                <w:i w:val="false"/>
                <w:color w:val="0000FF"/>
                <w:sz w:val="22"/>
                <w:szCs w:val="22"/>
              </w:rPr>
              <w:t>(2) Wilmot B. Harkey:  730,551 Shares.</w:t>
            </w:r>
            <w:r>
              <w:br/>
            </w:r>
            <w:r>
              <w:rPr>
                <w:rFonts w:ascii="arial" w:eastAsia="arial" w:hAnsi="arial" w:cs="arial"/>
                <w:b w:val="false"/>
                <w:bCs w:val="false"/>
                <w:i w:val="false"/>
                <w:color w:val="0000FF"/>
                <w:sz w:val="22"/>
                <w:szCs w:val="22"/>
              </w:rPr>
              <w:t>(3) Daniel Mack: 730,551 Shares.</w:t>
            </w:r>
          </w:p>
          <w:p>
            <w:pPr>
              <w:spacing w:before="0" w:after="0" w:lineRule="auto" w:line="240"/>
              <w:jc w:val="left"/>
              <w:rPr>
                <w:rFonts w:ascii="arial" w:eastAsia="arial" w:hAnsi="arial" w:cs="arial"/>
                <w:b/>
                <w:bCs/>
                <w:i w:val="false"/>
                <w:color w:val="000000"/>
                <w:sz w:val="22"/>
                <w:szCs w:val="22"/>
              </w:rPr>
            </w:pP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5.</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Ownership of 5 Percent or Less of a Class.</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Not Applicable</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6.</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Ownership of more than 5 Percent on Behalf of Another Person.</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Not Applicable</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7.</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Identification and Classification of the Subsidiary Which Acquired the Security Being Reported on by the Parent Holding Company or Control Person.</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00"/>
                <w:sz w:val="22"/>
                <w:szCs w:val="22"/>
              </w:rPr>
            </w:pPr>
            <w:r>
              <w:rPr>
                <w:rFonts w:ascii="arial" w:eastAsia="arial" w:hAnsi="arial" w:cs="arial"/>
                <w:b w:val="false"/>
                <w:bCs w:val="false"/>
                <w:i w:val="false"/>
                <w:color w:val="000000"/>
                <w:sz w:val="22"/>
                <w:szCs w:val="22"/>
              </w:rPr>
              <w:t>If a parent holding company has filed this schedule, pursuant to Rule 13d-1(b)(ii)(G), so indicate under Item 3(g) and attach an exhibit stating the identity and the Item 3 classification of the relevant subsidiary. If a parent holding company has filed this schedule pursuant to Rule 13d-1(c) or Rule 13d-1(d), attach an exhibit stating the identification of the relevant subsidiary.</w:t>
            </w:r>
          </w:p>
          <w:p>
            <w:pPr>
              <w:spacing w:before="0" w:after="0" w:lineRule="auto" w:line="240"/>
              <w:jc w:val="left"/>
              <w:rPr>
                <w:rFonts w:ascii="arial" w:eastAsia="arial" w:hAnsi="arial" w:cs="arial"/>
                <w:b/>
                <w:bCs/>
                <w:i w:val="false"/>
                <w:color w:val="000000"/>
                <w:sz w:val="22"/>
                <w:szCs w:val="22"/>
              </w:rPr>
            </w:pP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Each of Messrs. Harkey and Mack is filing this Schedule 13G as a control person in respect of shares beneficially owned by Nantahala, an investment adviser as described in ss. 240.13d-1(b)(1)(ii)(E).  See Item 4(a).</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8.</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Identification and Classification of Members of the Group.</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Not Applicable</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9.</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Notice of Dissolution of Group.</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Not Applicable</w:t>
            </w:r>
          </w:p>
        </w:tc>
      </w:tr>
    </w:tbl>
    <w:p>
      <w:pPr>
        <w:spacing w:before="0" w:after="0" w:lineRule="auto" w:line="240"/>
        <w:ind w:left="0" w:right="0"/>
        <w:rPr>
          <w:rFonts w:ascii="arial" w:eastAsia="arial" w:hAnsi="arial" w:cs="arial"/>
          <w:b w:val="false"/>
          <w:bCs w:val="false"/>
          <w:i w:val="false"/>
          <w:color w:val="000000"/>
          <w:sz w:val="24"/>
          <w:szCs w:val="24"/>
        </w:rPr>
      </w:pPr>
    </w:p>
    <w:tbl>
      <w:tblPr>
        <w:tblW w:w="5000" w:type="pct"/>
        <w:jc w:val="left"/>
        <w:tblCellSpacing w:w="0" w:type="dxa"/>
        <w:tblInd w:w="0" w:type="dxa"/>
      </w:tblP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10.</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Certifications:</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By signing below I certify that, to the best of my knowledge and belief, the securities referred to above were acquired and are held in the ordinary course of business and were not acquired and are not held for the purpose of or with the effect of changing or influencing the control of the issuer of the securities and were not acquired and are not held in connection with or as a participant in any transaction having that purpose or effect, other than activities solely in connection with a nomination under § 240.14a-11.</w:t>
            </w:r>
          </w:p>
        </w:tc>
      </w:tr>
    </w:tbl>
    <w:p>
      <w:pPr>
        <w:spacing w:before="0" w:after="0" w:lineRule="auto" w:line="240"/>
        <w:ind w:left="0" w:right="0"/>
        <w:rPr>
          <w:rFonts w:ascii="arial" w:eastAsia="arial" w:hAnsi="arial" w:cs="arial"/>
          <w:b w:val="false"/>
          <w:bCs w:val="false"/>
          <w:i w:val="false"/>
          <w:color w:val="000000"/>
          <w:sz w:val="24"/>
          <w:szCs w:val="24"/>
        </w:rPr>
      </w:pPr>
    </w:p>
    <w:tbl>
      <w:tblPr>
        <w:tblW w:w="5000" w:type="pct"/>
        <w:jc w:val="left"/>
        <w:tblCellSpacing w:w="0" w:type="dxa"/>
        <w:tblInd w:w="0" w:type="dxa"/>
      </w:tblP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SIGNATURE</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00"/>
                <w:sz w:val="22"/>
                <w:szCs w:val="22"/>
              </w:rPr>
            </w:pPr>
            <w:r>
              <w:rPr>
                <w:rFonts w:ascii="arial" w:eastAsia="arial" w:hAnsi="arial" w:cs="arial"/>
                <w:b w:val="false"/>
                <w:bCs w:val="false"/>
                <w:i w:val="false"/>
                <w:color w:val="000000"/>
                <w:sz w:val="22"/>
                <w:szCs w:val="22"/>
              </w:rPr>
              <w:t xml:space="preserve">After reasonable inquiry and to the best of my knowledge and belief, I certify that the information set forth in this statement is true, complete and correct. </w:t>
            </w:r>
            <w:r>
              <w:br/>
            </w: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50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30"/>
                      <w:szCs w:val="30"/>
                    </w:rPr>
                  </w:pPr>
                  <w:r>
                    <w:rPr>
                      <w:rFonts w:ascii="arial" w:eastAsia="arial" w:hAnsi="arial" w:cs="arial"/>
                      <w:b w:val="false"/>
                      <w:bCs w:val="false"/>
                      <w:i w:val="false"/>
                      <w:color w:val="0000FF"/>
                      <w:sz w:val="30"/>
                      <w:szCs w:val="30"/>
                    </w:rPr>
                    <w:t>Nantahala Capital Management, LLC</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Signature: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/s/ Taki Vasilakis</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Name/Title: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Taki Vasilakis / Chief Compliance Officer</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Date: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08/14/2026</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50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30"/>
                      <w:szCs w:val="30"/>
                    </w:rPr>
                  </w:pPr>
                  <w:r>
                    <w:rPr>
                      <w:rFonts w:ascii="arial" w:eastAsia="arial" w:hAnsi="arial" w:cs="arial"/>
                      <w:b w:val="false"/>
                      <w:bCs w:val="false"/>
                      <w:i w:val="false"/>
                      <w:color w:val="0000FF"/>
                      <w:sz w:val="30"/>
                      <w:szCs w:val="30"/>
                    </w:rPr>
                    <w:t>Wilmot B. Harkey</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Signature: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/s/ Wilmot B. Harkey</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Name/Title: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Wilmot B. Harkey</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Date: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08/14/2026</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50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30"/>
                      <w:szCs w:val="30"/>
                    </w:rPr>
                  </w:pPr>
                  <w:r>
                    <w:rPr>
                      <w:rFonts w:ascii="arial" w:eastAsia="arial" w:hAnsi="arial" w:cs="arial"/>
                      <w:b w:val="false"/>
                      <w:bCs w:val="false"/>
                      <w:i w:val="false"/>
                      <w:color w:val="0000FF"/>
                      <w:sz w:val="30"/>
                      <w:szCs w:val="30"/>
                    </w:rPr>
                    <w:t>Daniel Mack</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Signature: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/s/ Daniel Mack</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Name/Title: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Daniel Mack</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Date: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08/14/2026</w:t>
                  </w:r>
                </w:p>
              </w:tc>
            </w:tr>
          </w:tbl>
          <w:p>
            <w:pPr/>
          </w:p>
        </w:tc>
      </w:tr>
    </w:tbl>
    <w:sectPr>
      <w:pgSz w:w="11907" w:h="16839" w:code="9"/>
      <w:pgMar w:top="200" w:right="200" w:bottom="200" w:left="2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8D"/>
    <w:rsid w:val="00806F8D"/>
    <w:rsid w:val="00E0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rPr>
    </w:rPrDefault>
    <w:pPrDefault>
      <w:pPr>
        <w:spacing w:after="200" w:lineRule="auto" w:line="276"/>
      </w:pPr>
    </w:pPrDefault>
  </w:docDefaults>
  <w:style w:type="table" w:styleId="Normal Table" w:default="true">
    <w:name w:val="Normal Table"/>
    <w:uiPriority w:val="99"/>
    <w:semiHidden/>
    <w:unhideWhenUsed/>
    <w:qFormat/>
    <w:pPr/>
    <w:rPr/>
    <w:tblPr>
      <w:tblStyleRowBandSize w:val="1"/>
      <w:tblStyleColBandSize w:val="1"/>
      <w:tblInd w:w="0" w:type="dxa"/>
      <w:tblCellMar>
        <w:top w:w="0" w:type="dxa"/>
        <w:left w:w="108" w:type="dxa"/>
        <w:bottom w:w="0" w:type="dxa"/>
        <w:right w:w="108" w:type="dxa"/>
      </w:tblCellMar>
    </w:tblPr>
    <w:trPr/>
    <w:tcPr/>
  </w:style>
  <w:style w:type="table" w:styleId="Table Grid">
    <w:name w:val="Table Grid"/>
    <w:basedOn w:val="Normal Table"/>
    <w:qFormat/>
    <w:pPr>
      <w:spacing w:after="0" w:lineRule="auto" w:line="240"/>
    </w:pPr>
    <w:rPr/>
    <w:tblPr>
      <w:tblStyleRowBandSize w:val="1"/>
      <w:tblStyleColBandSize w:val="1"/>
      <w:tblInd w:w="0" w:type="dxa"/>
      <w:tblBorders>
        <w:top w:val="single" w:sz="4" w:color="000000"/>
        <w:left w:val="single" w:sz="4" w:color="000000"/>
        <w:bottom w:val="single" w:sz="4" w:color="000000"/>
        <w:right w:val="single" w:sz="4" w:color="000000"/>
        <w:insideH w:val="single" w:sz="4" w:color="000000"/>
        <w:insideV w:val="single" w:sz="4" w:color="000000"/>
      </w:tblBorders>
      <w:tblCellMar>
        <w:top w:w="0" w:type="dxa"/>
        <w:left w:w="108" w:type="dxa"/>
        <w:bottom w:w="0" w:type="dxa"/>
        <w:right w:w="108" w:type="dxa"/>
      </w:tblCellMar>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PictureId1" Type="http://schemas.openxmlformats.org/officeDocument/2006/relationships/image" Target="media/image1.jpg" /><Relationship Id="PictureId2" Type="http://schemas.openxmlformats.org/officeDocument/2006/relationships/image" Target="media/image2.jpg"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